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3E66" w14:textId="71587CF0" w:rsidR="00163E0F" w:rsidRPr="00805B88" w:rsidRDefault="00163E0F" w:rsidP="00163E0F"/>
    <w:p w14:paraId="41EB6B11" w14:textId="7636B194" w:rsidR="00064E54" w:rsidRDefault="00064E54" w:rsidP="00F556D5"/>
    <w:p w14:paraId="5B7860A4" w14:textId="77777777" w:rsidR="00163E0F" w:rsidRPr="00163E0F" w:rsidRDefault="00163E0F" w:rsidP="00163E0F">
      <w:pPr>
        <w:pBdr>
          <w:top w:val="single" w:sz="4" w:space="1" w:color="auto"/>
          <w:left w:val="single" w:sz="4" w:space="4" w:color="auto"/>
          <w:bottom w:val="single" w:sz="4" w:space="1" w:color="auto"/>
          <w:right w:val="single" w:sz="4" w:space="4" w:color="auto"/>
        </w:pBdr>
        <w:jc w:val="center"/>
        <w:rPr>
          <w:rFonts w:cstheme="minorHAnsi"/>
          <w:b/>
          <w:bCs/>
          <w:sz w:val="36"/>
          <w:szCs w:val="36"/>
          <w:lang w:eastAsia="fr-FR"/>
        </w:rPr>
      </w:pPr>
      <w:r w:rsidRPr="00163E0F">
        <w:rPr>
          <w:b/>
          <w:sz w:val="36"/>
          <w:szCs w:val="36"/>
          <w:lang w:val="en"/>
        </w:rPr>
        <w:t>Meeting report 15/10/2021</w:t>
      </w:r>
    </w:p>
    <w:p w14:paraId="34206180" w14:textId="77777777" w:rsidR="00163E0F" w:rsidRPr="00163E0F" w:rsidRDefault="00163E0F" w:rsidP="00163E0F">
      <w:pPr>
        <w:rPr>
          <w:rFonts w:cstheme="minorHAnsi"/>
          <w:sz w:val="24"/>
          <w:szCs w:val="20"/>
          <w:lang w:eastAsia="fr-FR"/>
        </w:rPr>
      </w:pPr>
    </w:p>
    <w:p w14:paraId="594930E2" w14:textId="77777777" w:rsidR="00163E0F" w:rsidRPr="00163E0F" w:rsidRDefault="00163E0F" w:rsidP="00163E0F">
      <w:pPr>
        <w:rPr>
          <w:rFonts w:cstheme="minorHAnsi"/>
          <w:sz w:val="24"/>
          <w:szCs w:val="20"/>
          <w:lang w:eastAsia="fr-FR"/>
        </w:rPr>
      </w:pPr>
    </w:p>
    <w:p w14:paraId="67E52F95" w14:textId="77777777" w:rsidR="00163E0F" w:rsidRPr="00163E0F" w:rsidRDefault="00163E0F" w:rsidP="00163E0F">
      <w:pPr>
        <w:rPr>
          <w:rFonts w:cstheme="minorHAnsi"/>
          <w:sz w:val="24"/>
          <w:szCs w:val="20"/>
          <w:lang w:eastAsia="fr-FR"/>
        </w:rPr>
      </w:pPr>
    </w:p>
    <w:p w14:paraId="5E5F4D08" w14:textId="61998B7A" w:rsidR="00163E0F" w:rsidRPr="00163E0F" w:rsidRDefault="00163E0F" w:rsidP="00163E0F">
      <w:pPr>
        <w:rPr>
          <w:rFonts w:cstheme="minorHAnsi"/>
          <w:b/>
          <w:bCs/>
          <w:sz w:val="24"/>
          <w:szCs w:val="20"/>
          <w:lang w:eastAsia="fr-FR"/>
        </w:rPr>
      </w:pPr>
      <w:r w:rsidRPr="00163E0F">
        <w:rPr>
          <w:b/>
          <w:sz w:val="24"/>
          <w:szCs w:val="20"/>
          <w:u w:val="single"/>
          <w:lang w:val="en"/>
        </w:rPr>
        <w:t>1</w:t>
      </w:r>
      <w:r>
        <w:rPr>
          <w:b/>
          <w:sz w:val="24"/>
          <w:szCs w:val="20"/>
          <w:u w:val="single"/>
          <w:lang w:val="en"/>
        </w:rPr>
        <w:t>7</w:t>
      </w:r>
      <w:r w:rsidRPr="00163E0F">
        <w:rPr>
          <w:b/>
          <w:sz w:val="24"/>
          <w:szCs w:val="20"/>
          <w:u w:val="single"/>
          <w:lang w:val="en"/>
        </w:rPr>
        <w:t xml:space="preserve"> participants</w:t>
      </w:r>
      <w:r w:rsidRPr="00163E0F">
        <w:rPr>
          <w:b/>
          <w:sz w:val="24"/>
          <w:szCs w:val="20"/>
          <w:lang w:val="en"/>
        </w:rPr>
        <w:t> :</w:t>
      </w:r>
    </w:p>
    <w:p w14:paraId="091B06F3" w14:textId="77777777" w:rsidR="00163E0F" w:rsidRPr="00163E0F" w:rsidRDefault="00163E0F" w:rsidP="00163E0F">
      <w:pPr>
        <w:rPr>
          <w:rFonts w:cstheme="minorHAnsi"/>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3326"/>
      </w:tblGrid>
      <w:tr w:rsidR="00163E0F" w:rsidRPr="00C00F03" w14:paraId="66AF0ED7" w14:textId="77777777" w:rsidTr="003367B9">
        <w:tc>
          <w:tcPr>
            <w:tcW w:w="3326" w:type="dxa"/>
          </w:tcPr>
          <w:p w14:paraId="6CE63FFD" w14:textId="77777777" w:rsidR="00163E0F" w:rsidRPr="00163E0F" w:rsidRDefault="00163E0F" w:rsidP="00163E0F">
            <w:pPr>
              <w:rPr>
                <w:rFonts w:cstheme="minorHAnsi"/>
                <w:sz w:val="24"/>
                <w:szCs w:val="20"/>
                <w:lang w:eastAsia="fr-FR"/>
              </w:rPr>
            </w:pPr>
            <w:r w:rsidRPr="00C00F03">
              <w:rPr>
                <w:sz w:val="24"/>
                <w:szCs w:val="20"/>
              </w:rPr>
              <w:t>Rasmus Nordahl (DK)</w:t>
            </w:r>
          </w:p>
          <w:p w14:paraId="5831B117" w14:textId="77777777" w:rsidR="00163E0F" w:rsidRPr="00163E0F" w:rsidRDefault="00163E0F" w:rsidP="00163E0F">
            <w:pPr>
              <w:rPr>
                <w:rFonts w:cstheme="minorHAnsi"/>
                <w:sz w:val="24"/>
                <w:szCs w:val="20"/>
                <w:lang w:eastAsia="fr-FR"/>
              </w:rPr>
            </w:pPr>
            <w:r w:rsidRPr="00C00F03">
              <w:rPr>
                <w:sz w:val="24"/>
                <w:szCs w:val="20"/>
              </w:rPr>
              <w:t>Alejandro Espada (Spain)</w:t>
            </w:r>
          </w:p>
          <w:p w14:paraId="056393A7" w14:textId="77777777" w:rsidR="00163E0F" w:rsidRPr="00C00F03" w:rsidRDefault="00163E0F" w:rsidP="00163E0F">
            <w:pPr>
              <w:rPr>
                <w:rFonts w:cstheme="minorHAnsi"/>
                <w:sz w:val="24"/>
                <w:szCs w:val="20"/>
                <w:lang w:val="en-GB" w:eastAsia="fr-FR"/>
              </w:rPr>
            </w:pPr>
            <w:r w:rsidRPr="00163E0F">
              <w:rPr>
                <w:sz w:val="24"/>
                <w:szCs w:val="20"/>
                <w:lang w:val="en"/>
              </w:rPr>
              <w:t>Christophe Delahousse (FR)</w:t>
            </w:r>
          </w:p>
          <w:p w14:paraId="58242E68" w14:textId="77777777" w:rsidR="00163E0F" w:rsidRPr="00C00F03" w:rsidRDefault="00163E0F" w:rsidP="00163E0F">
            <w:pPr>
              <w:rPr>
                <w:rFonts w:cstheme="minorHAnsi"/>
                <w:sz w:val="24"/>
                <w:szCs w:val="20"/>
                <w:lang w:val="en-GB" w:eastAsia="fr-FR"/>
              </w:rPr>
            </w:pPr>
            <w:r w:rsidRPr="00163E0F">
              <w:rPr>
                <w:sz w:val="24"/>
                <w:szCs w:val="20"/>
                <w:lang w:val="en"/>
              </w:rPr>
              <w:t>Thierry Clerc (FR)</w:t>
            </w:r>
          </w:p>
          <w:p w14:paraId="7F152338" w14:textId="77777777" w:rsidR="00163E0F" w:rsidRPr="00C00F03" w:rsidRDefault="00163E0F" w:rsidP="00163E0F">
            <w:pPr>
              <w:rPr>
                <w:rFonts w:cstheme="minorHAnsi"/>
                <w:sz w:val="24"/>
                <w:szCs w:val="20"/>
                <w:lang w:val="en-GB" w:eastAsia="fr-FR"/>
              </w:rPr>
            </w:pPr>
            <w:r w:rsidRPr="00163E0F">
              <w:rPr>
                <w:sz w:val="24"/>
                <w:szCs w:val="20"/>
                <w:lang w:val="en"/>
              </w:rPr>
              <w:t>Benedykt Fiutowski (PL)</w:t>
            </w:r>
          </w:p>
          <w:p w14:paraId="68F51A92" w14:textId="77777777" w:rsidR="00163E0F" w:rsidRPr="00C00F03" w:rsidRDefault="00163E0F" w:rsidP="00163E0F">
            <w:pPr>
              <w:rPr>
                <w:rFonts w:cstheme="minorHAnsi"/>
                <w:sz w:val="24"/>
                <w:szCs w:val="20"/>
                <w:lang w:val="en-GB" w:eastAsia="fr-FR"/>
              </w:rPr>
            </w:pPr>
            <w:r w:rsidRPr="00163E0F">
              <w:rPr>
                <w:sz w:val="24"/>
                <w:szCs w:val="20"/>
                <w:lang w:val="en"/>
              </w:rPr>
              <w:t xml:space="preserve">Timo </w:t>
            </w:r>
            <w:proofErr w:type="spellStart"/>
            <w:r w:rsidRPr="00163E0F">
              <w:rPr>
                <w:sz w:val="24"/>
                <w:szCs w:val="20"/>
                <w:lang w:val="en"/>
              </w:rPr>
              <w:t>Mäenpää</w:t>
            </w:r>
            <w:proofErr w:type="spellEnd"/>
            <w:r w:rsidRPr="00163E0F">
              <w:rPr>
                <w:sz w:val="24"/>
                <w:szCs w:val="20"/>
                <w:lang w:val="en"/>
              </w:rPr>
              <w:t xml:space="preserve"> (FIN)</w:t>
            </w:r>
          </w:p>
          <w:p w14:paraId="1E093D5D" w14:textId="77777777" w:rsidR="00163E0F" w:rsidRPr="00163E0F" w:rsidRDefault="00163E0F" w:rsidP="00163E0F">
            <w:pPr>
              <w:rPr>
                <w:rFonts w:cstheme="minorHAnsi"/>
                <w:sz w:val="24"/>
                <w:szCs w:val="20"/>
                <w:lang w:eastAsia="fr-FR"/>
              </w:rPr>
            </w:pPr>
            <w:r w:rsidRPr="00C00F03">
              <w:rPr>
                <w:sz w:val="24"/>
                <w:szCs w:val="20"/>
              </w:rPr>
              <w:t xml:space="preserve">Guillaume </w:t>
            </w:r>
            <w:proofErr w:type="spellStart"/>
            <w:r w:rsidRPr="00C00F03">
              <w:rPr>
                <w:sz w:val="24"/>
                <w:szCs w:val="20"/>
              </w:rPr>
              <w:t>Cardoen</w:t>
            </w:r>
            <w:proofErr w:type="spellEnd"/>
            <w:r w:rsidRPr="00C00F03">
              <w:rPr>
                <w:sz w:val="24"/>
                <w:szCs w:val="20"/>
              </w:rPr>
              <w:t xml:space="preserve"> (MC)</w:t>
            </w:r>
          </w:p>
          <w:p w14:paraId="6383E8F5" w14:textId="77777777" w:rsidR="00163E0F" w:rsidRPr="00163E0F" w:rsidRDefault="00163E0F" w:rsidP="00163E0F">
            <w:pPr>
              <w:rPr>
                <w:rFonts w:cstheme="minorHAnsi"/>
                <w:sz w:val="24"/>
                <w:szCs w:val="20"/>
                <w:lang w:eastAsia="fr-FR"/>
              </w:rPr>
            </w:pPr>
            <w:r w:rsidRPr="00C00F03">
              <w:rPr>
                <w:sz w:val="24"/>
                <w:szCs w:val="20"/>
              </w:rPr>
              <w:t>Alistair Rustemeyer (UK)</w:t>
            </w:r>
          </w:p>
          <w:p w14:paraId="568CE67B" w14:textId="77777777" w:rsidR="00163E0F" w:rsidRPr="00163E0F" w:rsidRDefault="00163E0F" w:rsidP="00163E0F">
            <w:pPr>
              <w:rPr>
                <w:rFonts w:cstheme="minorHAnsi"/>
                <w:sz w:val="24"/>
                <w:szCs w:val="20"/>
                <w:lang w:eastAsia="fr-FR"/>
              </w:rPr>
            </w:pPr>
            <w:r w:rsidRPr="00C00F03">
              <w:rPr>
                <w:sz w:val="24"/>
                <w:szCs w:val="20"/>
              </w:rPr>
              <w:t>Frits Bienfait (NL)</w:t>
            </w:r>
          </w:p>
        </w:tc>
        <w:tc>
          <w:tcPr>
            <w:tcW w:w="3326" w:type="dxa"/>
          </w:tcPr>
          <w:p w14:paraId="7672D09A" w14:textId="77777777" w:rsidR="00163E0F" w:rsidRPr="00C00F03" w:rsidRDefault="00163E0F" w:rsidP="00163E0F">
            <w:pPr>
              <w:rPr>
                <w:rFonts w:cstheme="minorHAnsi"/>
                <w:sz w:val="24"/>
                <w:szCs w:val="20"/>
                <w:lang w:val="en-GB" w:eastAsia="fr-FR"/>
              </w:rPr>
            </w:pPr>
            <w:r w:rsidRPr="00163E0F">
              <w:rPr>
                <w:sz w:val="24"/>
                <w:szCs w:val="20"/>
                <w:lang w:val="en"/>
              </w:rPr>
              <w:t>Xavier Franquesa (Spain)</w:t>
            </w:r>
          </w:p>
          <w:p w14:paraId="2DB98E92" w14:textId="4AF61F03" w:rsidR="00163E0F" w:rsidRPr="00C00F03" w:rsidRDefault="00163E0F" w:rsidP="00163E0F">
            <w:pPr>
              <w:rPr>
                <w:rFonts w:cstheme="minorHAnsi"/>
                <w:sz w:val="24"/>
                <w:szCs w:val="20"/>
                <w:lang w:val="en-GB" w:eastAsia="fr-FR"/>
              </w:rPr>
            </w:pPr>
            <w:r w:rsidRPr="00163E0F">
              <w:rPr>
                <w:sz w:val="24"/>
                <w:szCs w:val="20"/>
                <w:lang w:val="en"/>
              </w:rPr>
              <w:t>Bar</w:t>
            </w:r>
            <w:r w:rsidR="00C00F03">
              <w:rPr>
                <w:sz w:val="24"/>
                <w:szCs w:val="20"/>
                <w:lang w:val="en"/>
              </w:rPr>
              <w:t>is</w:t>
            </w:r>
            <w:r w:rsidRPr="00163E0F">
              <w:rPr>
                <w:sz w:val="24"/>
                <w:szCs w:val="20"/>
                <w:lang w:val="en"/>
              </w:rPr>
              <w:t xml:space="preserve"> </w:t>
            </w:r>
            <w:proofErr w:type="spellStart"/>
            <w:r w:rsidRPr="00163E0F">
              <w:rPr>
                <w:sz w:val="24"/>
                <w:szCs w:val="20"/>
                <w:lang w:val="en"/>
              </w:rPr>
              <w:t>Ulker</w:t>
            </w:r>
            <w:proofErr w:type="spellEnd"/>
            <w:r w:rsidRPr="00163E0F">
              <w:rPr>
                <w:sz w:val="24"/>
                <w:szCs w:val="20"/>
                <w:lang w:val="en"/>
              </w:rPr>
              <w:t xml:space="preserve"> (TR)</w:t>
            </w:r>
          </w:p>
          <w:p w14:paraId="429F3CCC" w14:textId="5F109DA4" w:rsidR="00163E0F" w:rsidRPr="00C00F03" w:rsidRDefault="00163E0F" w:rsidP="00163E0F">
            <w:pPr>
              <w:rPr>
                <w:rFonts w:cstheme="minorHAnsi"/>
                <w:sz w:val="24"/>
                <w:szCs w:val="20"/>
                <w:lang w:val="en-GB" w:eastAsia="fr-FR"/>
              </w:rPr>
            </w:pPr>
            <w:r w:rsidRPr="00163E0F">
              <w:rPr>
                <w:sz w:val="24"/>
                <w:szCs w:val="20"/>
                <w:lang w:val="en"/>
              </w:rPr>
              <w:t>Fabienne Legrand</w:t>
            </w:r>
            <w:r w:rsidR="00C00F03">
              <w:rPr>
                <w:sz w:val="24"/>
                <w:szCs w:val="20"/>
                <w:lang w:val="en"/>
              </w:rPr>
              <w:t xml:space="preserve"> </w:t>
            </w:r>
            <w:r w:rsidRPr="00163E0F">
              <w:rPr>
                <w:sz w:val="24"/>
                <w:szCs w:val="20"/>
                <w:lang w:val="en"/>
              </w:rPr>
              <w:t>(B)</w:t>
            </w:r>
          </w:p>
          <w:p w14:paraId="71EC3C11" w14:textId="77777777" w:rsidR="00163E0F" w:rsidRPr="00C00F03" w:rsidRDefault="00163E0F" w:rsidP="00163E0F">
            <w:pPr>
              <w:rPr>
                <w:rFonts w:cstheme="minorHAnsi"/>
                <w:sz w:val="24"/>
                <w:szCs w:val="20"/>
                <w:lang w:val="en-GB" w:eastAsia="fr-FR"/>
              </w:rPr>
            </w:pPr>
            <w:r w:rsidRPr="00163E0F">
              <w:rPr>
                <w:sz w:val="24"/>
                <w:szCs w:val="20"/>
                <w:lang w:val="en"/>
              </w:rPr>
              <w:t>Christian Schlemmer (G)</w:t>
            </w:r>
          </w:p>
          <w:p w14:paraId="0EC94FD7" w14:textId="30179D65" w:rsidR="00163E0F" w:rsidRPr="00C00F03" w:rsidRDefault="00163E0F" w:rsidP="00163E0F">
            <w:pPr>
              <w:rPr>
                <w:rFonts w:cstheme="minorHAnsi"/>
                <w:sz w:val="24"/>
                <w:szCs w:val="20"/>
                <w:lang w:val="en-GB" w:eastAsia="fr-FR"/>
              </w:rPr>
            </w:pPr>
            <w:r w:rsidRPr="00163E0F">
              <w:rPr>
                <w:sz w:val="24"/>
                <w:szCs w:val="20"/>
                <w:lang w:val="en"/>
              </w:rPr>
              <w:t xml:space="preserve">Benoit </w:t>
            </w:r>
            <w:r w:rsidR="00C00F03">
              <w:rPr>
                <w:sz w:val="24"/>
                <w:szCs w:val="20"/>
                <w:lang w:val="en"/>
              </w:rPr>
              <w:t>Timmerman</w:t>
            </w:r>
            <w:r w:rsidRPr="00163E0F">
              <w:rPr>
                <w:sz w:val="24"/>
                <w:szCs w:val="20"/>
                <w:lang w:val="en"/>
              </w:rPr>
              <w:t xml:space="preserve"> (B)</w:t>
            </w:r>
          </w:p>
          <w:p w14:paraId="5C08A1BA" w14:textId="77777777" w:rsidR="00163E0F" w:rsidRPr="00C00F03" w:rsidRDefault="00163E0F" w:rsidP="00163E0F">
            <w:pPr>
              <w:rPr>
                <w:rFonts w:cstheme="minorHAnsi"/>
                <w:sz w:val="24"/>
                <w:szCs w:val="20"/>
                <w:lang w:val="en-GB" w:eastAsia="fr-FR"/>
              </w:rPr>
            </w:pPr>
            <w:r w:rsidRPr="00163E0F">
              <w:rPr>
                <w:sz w:val="24"/>
                <w:szCs w:val="20"/>
                <w:lang w:val="en"/>
              </w:rPr>
              <w:t>Lotte Vanfraechem (B)</w:t>
            </w:r>
          </w:p>
          <w:p w14:paraId="5231465E" w14:textId="77777777" w:rsidR="00163E0F" w:rsidRPr="00C00F03" w:rsidRDefault="00163E0F" w:rsidP="00163E0F">
            <w:pPr>
              <w:rPr>
                <w:rFonts w:cstheme="minorHAnsi"/>
                <w:sz w:val="24"/>
                <w:szCs w:val="20"/>
                <w:lang w:val="en-GB" w:eastAsia="fr-FR"/>
              </w:rPr>
            </w:pPr>
            <w:r w:rsidRPr="00163E0F">
              <w:rPr>
                <w:sz w:val="24"/>
                <w:szCs w:val="20"/>
                <w:lang w:val="en"/>
              </w:rPr>
              <w:t>Moritz Schumann (USA)</w:t>
            </w:r>
          </w:p>
          <w:p w14:paraId="47657045" w14:textId="77777777" w:rsidR="00163E0F" w:rsidRPr="00C00F03" w:rsidRDefault="00163E0F" w:rsidP="00163E0F">
            <w:pPr>
              <w:rPr>
                <w:rFonts w:cstheme="minorHAnsi"/>
                <w:sz w:val="24"/>
                <w:szCs w:val="20"/>
                <w:lang w:val="en-GB" w:eastAsia="fr-FR"/>
              </w:rPr>
            </w:pPr>
            <w:r w:rsidRPr="00163E0F">
              <w:rPr>
                <w:sz w:val="24"/>
                <w:szCs w:val="20"/>
                <w:lang w:val="en"/>
              </w:rPr>
              <w:t>Isabelle Vaugon (Speaker - FR)</w:t>
            </w:r>
          </w:p>
          <w:p w14:paraId="1990E507" w14:textId="5A88A08F" w:rsidR="00163E0F" w:rsidRPr="00C00F03" w:rsidRDefault="00163E0F" w:rsidP="00163E0F">
            <w:pPr>
              <w:rPr>
                <w:rFonts w:cstheme="minorHAnsi"/>
                <w:sz w:val="24"/>
                <w:szCs w:val="20"/>
                <w:lang w:val="en-GB" w:eastAsia="fr-FR"/>
              </w:rPr>
            </w:pPr>
          </w:p>
        </w:tc>
      </w:tr>
    </w:tbl>
    <w:p w14:paraId="64D92B04" w14:textId="77777777" w:rsidR="00163E0F" w:rsidRPr="00C00F03" w:rsidRDefault="00163E0F" w:rsidP="00163E0F">
      <w:pPr>
        <w:rPr>
          <w:rFonts w:cstheme="minorHAnsi"/>
          <w:sz w:val="24"/>
          <w:szCs w:val="20"/>
          <w:lang w:val="en-GB" w:eastAsia="fr-FR"/>
        </w:rPr>
      </w:pPr>
    </w:p>
    <w:p w14:paraId="7A541B48" w14:textId="77777777" w:rsidR="00163E0F" w:rsidRPr="00C00F03" w:rsidRDefault="00163E0F" w:rsidP="00163E0F">
      <w:pPr>
        <w:jc w:val="center"/>
        <w:rPr>
          <w:rFonts w:cstheme="minorHAnsi"/>
          <w:sz w:val="30"/>
          <w:szCs w:val="30"/>
          <w:lang w:val="en-GB" w:eastAsia="fr-FR"/>
        </w:rPr>
      </w:pPr>
    </w:p>
    <w:p w14:paraId="07A78967" w14:textId="77777777" w:rsidR="00163E0F" w:rsidRPr="00C00F03" w:rsidRDefault="00163E0F" w:rsidP="00163E0F">
      <w:pPr>
        <w:jc w:val="center"/>
        <w:rPr>
          <w:rFonts w:cstheme="minorHAnsi"/>
          <w:b/>
          <w:bCs/>
          <w:sz w:val="30"/>
          <w:szCs w:val="30"/>
          <w:lang w:val="en-GB" w:eastAsia="fr-FR"/>
        </w:rPr>
      </w:pPr>
      <w:bookmarkStart w:id="0" w:name="_Hlk86149915"/>
      <w:r w:rsidRPr="00163E0F">
        <w:rPr>
          <w:b/>
          <w:sz w:val="30"/>
          <w:szCs w:val="30"/>
          <w:lang w:val="en"/>
        </w:rPr>
        <w:t>* * * * *</w:t>
      </w:r>
    </w:p>
    <w:bookmarkEnd w:id="0"/>
    <w:p w14:paraId="414EEBCA" w14:textId="77777777" w:rsidR="00163E0F" w:rsidRPr="00C00F03" w:rsidRDefault="00163E0F" w:rsidP="00163E0F">
      <w:pPr>
        <w:rPr>
          <w:rFonts w:cstheme="minorHAnsi"/>
          <w:sz w:val="24"/>
          <w:szCs w:val="20"/>
          <w:lang w:val="en-GB" w:eastAsia="fr-FR"/>
        </w:rPr>
      </w:pPr>
    </w:p>
    <w:p w14:paraId="0BB88724" w14:textId="14FDFF77" w:rsidR="00163E0F" w:rsidRPr="00C00F03" w:rsidRDefault="00163E0F" w:rsidP="00163E0F">
      <w:pPr>
        <w:rPr>
          <w:rFonts w:cstheme="minorHAnsi"/>
          <w:sz w:val="24"/>
          <w:szCs w:val="20"/>
          <w:lang w:val="en-GB" w:eastAsia="fr-FR"/>
        </w:rPr>
      </w:pPr>
      <w:r w:rsidRPr="00163E0F">
        <w:rPr>
          <w:b/>
          <w:color w:val="0070C0"/>
          <w:sz w:val="26"/>
          <w:szCs w:val="26"/>
          <w:u w:val="single"/>
          <w:lang w:val="en"/>
        </w:rPr>
        <w:t>Isabelle</w:t>
      </w:r>
      <w:r w:rsidR="00C00F03">
        <w:rPr>
          <w:b/>
          <w:color w:val="0070C0"/>
          <w:sz w:val="26"/>
          <w:szCs w:val="26"/>
          <w:u w:val="single"/>
          <w:lang w:val="en"/>
        </w:rPr>
        <w:t xml:space="preserve"> </w:t>
      </w:r>
      <w:r w:rsidRPr="00C00F03">
        <w:rPr>
          <w:b/>
          <w:color w:val="0070C0"/>
          <w:sz w:val="26"/>
          <w:szCs w:val="26"/>
          <w:u w:val="single"/>
          <w:lang w:val="en"/>
        </w:rPr>
        <w:t>Vaugon</w:t>
      </w:r>
      <w:r w:rsidRPr="00163E0F">
        <w:rPr>
          <w:sz w:val="24"/>
          <w:szCs w:val="20"/>
          <w:lang w:val="en"/>
        </w:rPr>
        <w:t>, specialist in African law, presents the OHADA law applicable in French-speaking countries for the most part.</w:t>
      </w:r>
    </w:p>
    <w:p w14:paraId="412532FD" w14:textId="77777777" w:rsidR="00163E0F" w:rsidRPr="00C00F03" w:rsidRDefault="00163E0F" w:rsidP="00163E0F">
      <w:pPr>
        <w:rPr>
          <w:rFonts w:cstheme="minorHAnsi"/>
          <w:sz w:val="24"/>
          <w:szCs w:val="20"/>
          <w:lang w:val="en-GB" w:eastAsia="fr-FR"/>
        </w:rPr>
      </w:pPr>
    </w:p>
    <w:p w14:paraId="4B21F59E" w14:textId="4285E2CA" w:rsidR="00163E0F" w:rsidRPr="00C00F03" w:rsidRDefault="00C00F03" w:rsidP="00163E0F">
      <w:pPr>
        <w:rPr>
          <w:rFonts w:cstheme="minorHAnsi"/>
          <w:sz w:val="24"/>
          <w:szCs w:val="20"/>
          <w:lang w:val="en-GB" w:eastAsia="fr-FR"/>
        </w:rPr>
      </w:pPr>
      <w:r>
        <w:rPr>
          <w:sz w:val="24"/>
          <w:szCs w:val="20"/>
          <w:lang w:val="en"/>
        </w:rPr>
        <w:t>That</w:t>
      </w:r>
      <w:r w:rsidR="00163E0F" w:rsidRPr="00163E0F">
        <w:rPr>
          <w:sz w:val="24"/>
          <w:szCs w:val="20"/>
          <w:lang w:val="en"/>
        </w:rPr>
        <w:t xml:space="preserve"> is 17 countries.</w:t>
      </w:r>
    </w:p>
    <w:p w14:paraId="70D882D7" w14:textId="77777777" w:rsidR="00163E0F" w:rsidRPr="00C00F03" w:rsidRDefault="00163E0F" w:rsidP="00163E0F">
      <w:pPr>
        <w:rPr>
          <w:rFonts w:cstheme="minorHAnsi"/>
          <w:sz w:val="24"/>
          <w:szCs w:val="20"/>
          <w:lang w:val="en-GB" w:eastAsia="fr-FR"/>
        </w:rPr>
      </w:pPr>
    </w:p>
    <w:p w14:paraId="3D206725" w14:textId="77777777" w:rsidR="00163E0F" w:rsidRPr="00C00F03" w:rsidRDefault="00163E0F" w:rsidP="00163E0F">
      <w:pPr>
        <w:rPr>
          <w:rFonts w:cstheme="minorHAnsi"/>
          <w:sz w:val="24"/>
          <w:szCs w:val="20"/>
          <w:lang w:val="en-GB" w:eastAsia="fr-FR"/>
        </w:rPr>
      </w:pPr>
      <w:r w:rsidRPr="00163E0F">
        <w:rPr>
          <w:sz w:val="24"/>
          <w:szCs w:val="20"/>
          <w:lang w:val="en"/>
        </w:rPr>
        <w:t>She explains the mediation and arbitration procedures stating that she notes 80% success for mediation.</w:t>
      </w:r>
    </w:p>
    <w:p w14:paraId="1F21C5CB" w14:textId="77777777" w:rsidR="00163E0F" w:rsidRPr="00C00F03" w:rsidRDefault="00163E0F" w:rsidP="00163E0F">
      <w:pPr>
        <w:rPr>
          <w:rFonts w:cstheme="minorHAnsi"/>
          <w:sz w:val="24"/>
          <w:szCs w:val="20"/>
          <w:lang w:val="en-GB" w:eastAsia="fr-FR"/>
        </w:rPr>
      </w:pPr>
    </w:p>
    <w:p w14:paraId="6DADBDEE" w14:textId="1F20F78B" w:rsidR="00163E0F" w:rsidRPr="00C00F03" w:rsidRDefault="00C00F03" w:rsidP="00163E0F">
      <w:pPr>
        <w:rPr>
          <w:rFonts w:cstheme="minorHAnsi"/>
          <w:sz w:val="24"/>
          <w:szCs w:val="20"/>
          <w:lang w:val="en-GB" w:eastAsia="fr-FR"/>
        </w:rPr>
      </w:pPr>
      <w:r>
        <w:rPr>
          <w:sz w:val="24"/>
          <w:szCs w:val="20"/>
          <w:lang w:val="en"/>
        </w:rPr>
        <w:t>She</w:t>
      </w:r>
      <w:r w:rsidR="00163E0F" w:rsidRPr="00163E0F">
        <w:rPr>
          <w:sz w:val="24"/>
          <w:szCs w:val="20"/>
          <w:lang w:val="en"/>
        </w:rPr>
        <w:t xml:space="preserve"> explains the rules of arbitration called</w:t>
      </w:r>
      <w:r>
        <w:rPr>
          <w:sz w:val="24"/>
          <w:szCs w:val="20"/>
          <w:lang w:val="en"/>
        </w:rPr>
        <w:t xml:space="preserve"> </w:t>
      </w:r>
      <w:r w:rsidR="00163E0F">
        <w:rPr>
          <w:sz w:val="24"/>
          <w:szCs w:val="20"/>
          <w:lang w:val="en"/>
        </w:rPr>
        <w:t>the AUA</w:t>
      </w:r>
      <w:r w:rsidR="00163E0F" w:rsidRPr="00163E0F">
        <w:rPr>
          <w:sz w:val="24"/>
          <w:szCs w:val="20"/>
          <w:lang w:val="en"/>
        </w:rPr>
        <w:t xml:space="preserve"> rules.</w:t>
      </w:r>
    </w:p>
    <w:p w14:paraId="3D5C54B6" w14:textId="77777777" w:rsidR="00163E0F" w:rsidRPr="00C00F03" w:rsidRDefault="00163E0F" w:rsidP="00163E0F">
      <w:pPr>
        <w:rPr>
          <w:rFonts w:cstheme="minorHAnsi"/>
          <w:sz w:val="24"/>
          <w:szCs w:val="20"/>
          <w:lang w:val="en-GB" w:eastAsia="fr-FR"/>
        </w:rPr>
      </w:pPr>
    </w:p>
    <w:p w14:paraId="1A2AB0B2" w14:textId="3FA5AA01" w:rsidR="00163E0F" w:rsidRPr="00C00F03" w:rsidRDefault="00163E0F" w:rsidP="00163E0F">
      <w:pPr>
        <w:rPr>
          <w:rFonts w:cstheme="minorHAnsi"/>
          <w:sz w:val="24"/>
          <w:szCs w:val="20"/>
          <w:lang w:val="en-GB" w:eastAsia="fr-FR"/>
        </w:rPr>
      </w:pPr>
      <w:r w:rsidRPr="00163E0F">
        <w:rPr>
          <w:sz w:val="24"/>
          <w:szCs w:val="20"/>
          <w:lang w:val="en"/>
        </w:rPr>
        <w:t>The exequatur of arbitration decisions is automatic in the OHADA</w:t>
      </w:r>
      <w:r w:rsidR="00C00F03">
        <w:rPr>
          <w:sz w:val="24"/>
          <w:szCs w:val="20"/>
          <w:lang w:val="en"/>
        </w:rPr>
        <w:t xml:space="preserve"> </w:t>
      </w:r>
      <w:r w:rsidR="00C00F03" w:rsidRPr="00163E0F">
        <w:rPr>
          <w:sz w:val="24"/>
          <w:szCs w:val="20"/>
          <w:lang w:val="en"/>
        </w:rPr>
        <w:t>territory</w:t>
      </w:r>
      <w:r w:rsidRPr="00163E0F">
        <w:rPr>
          <w:sz w:val="24"/>
          <w:szCs w:val="20"/>
          <w:lang w:val="en"/>
        </w:rPr>
        <w:t>.</w:t>
      </w:r>
    </w:p>
    <w:p w14:paraId="72C969B0" w14:textId="77777777" w:rsidR="00163E0F" w:rsidRPr="00C00F03" w:rsidRDefault="00163E0F" w:rsidP="00163E0F">
      <w:pPr>
        <w:rPr>
          <w:rFonts w:cstheme="minorHAnsi"/>
          <w:sz w:val="24"/>
          <w:szCs w:val="20"/>
          <w:lang w:val="en-GB" w:eastAsia="fr-FR"/>
        </w:rPr>
      </w:pPr>
    </w:p>
    <w:p w14:paraId="33E87AA7" w14:textId="34FAF2D3" w:rsidR="00163E0F" w:rsidRPr="00C00F03" w:rsidRDefault="00163E0F" w:rsidP="00163E0F">
      <w:pPr>
        <w:rPr>
          <w:rFonts w:cstheme="minorHAnsi"/>
          <w:sz w:val="24"/>
          <w:szCs w:val="20"/>
          <w:lang w:val="en-GB" w:eastAsia="fr-FR"/>
        </w:rPr>
      </w:pPr>
      <w:r w:rsidRPr="00163E0F">
        <w:rPr>
          <w:sz w:val="24"/>
          <w:szCs w:val="20"/>
          <w:lang w:val="en"/>
        </w:rPr>
        <w:t>There is an OHADA Court of Justice (CCJA) which is also the Support Judge and the Supreme Court if the seat of arbitration is in</w:t>
      </w:r>
      <w:r w:rsidR="00C00F03">
        <w:rPr>
          <w:sz w:val="24"/>
          <w:szCs w:val="20"/>
          <w:lang w:val="en"/>
        </w:rPr>
        <w:t xml:space="preserve"> the</w:t>
      </w:r>
      <w:r w:rsidRPr="00163E0F">
        <w:rPr>
          <w:sz w:val="24"/>
          <w:szCs w:val="20"/>
          <w:lang w:val="en"/>
        </w:rPr>
        <w:t xml:space="preserve"> </w:t>
      </w:r>
      <w:r w:rsidR="00C00F03">
        <w:rPr>
          <w:sz w:val="24"/>
          <w:szCs w:val="20"/>
          <w:lang w:val="en"/>
        </w:rPr>
        <w:t>OHADA</w:t>
      </w:r>
      <w:r w:rsidRPr="00163E0F">
        <w:rPr>
          <w:sz w:val="24"/>
          <w:szCs w:val="20"/>
          <w:lang w:val="en"/>
        </w:rPr>
        <w:t xml:space="preserve"> territory.</w:t>
      </w:r>
    </w:p>
    <w:p w14:paraId="78B619ED" w14:textId="77777777" w:rsidR="00163E0F" w:rsidRPr="00C00F03" w:rsidRDefault="00163E0F" w:rsidP="00163E0F">
      <w:pPr>
        <w:rPr>
          <w:rFonts w:cstheme="minorHAnsi"/>
          <w:sz w:val="24"/>
          <w:szCs w:val="20"/>
          <w:lang w:val="en-GB" w:eastAsia="fr-FR"/>
        </w:rPr>
      </w:pPr>
    </w:p>
    <w:p w14:paraId="7D0DA150" w14:textId="77777777" w:rsidR="00163E0F" w:rsidRPr="00C00F03" w:rsidRDefault="00163E0F" w:rsidP="00163E0F">
      <w:pPr>
        <w:rPr>
          <w:rFonts w:cstheme="minorHAnsi"/>
          <w:sz w:val="24"/>
          <w:szCs w:val="20"/>
          <w:lang w:val="en-GB" w:eastAsia="fr-FR"/>
        </w:rPr>
      </w:pPr>
      <w:r w:rsidRPr="00163E0F">
        <w:rPr>
          <w:sz w:val="24"/>
          <w:szCs w:val="20"/>
          <w:lang w:val="en"/>
        </w:rPr>
        <w:lastRenderedPageBreak/>
        <w:t>The language is French but can also be English, especially for Congo and Kenya.</w:t>
      </w:r>
    </w:p>
    <w:p w14:paraId="0EF282F6" w14:textId="77777777" w:rsidR="00163E0F" w:rsidRPr="00C00F03" w:rsidRDefault="00163E0F" w:rsidP="00163E0F">
      <w:pPr>
        <w:rPr>
          <w:rFonts w:cstheme="minorHAnsi"/>
          <w:sz w:val="24"/>
          <w:szCs w:val="20"/>
          <w:lang w:val="en-GB" w:eastAsia="fr-FR"/>
        </w:rPr>
      </w:pPr>
    </w:p>
    <w:p w14:paraId="0896C574" w14:textId="77777777" w:rsidR="00163E0F" w:rsidRPr="00C00F03" w:rsidRDefault="00163E0F" w:rsidP="00163E0F">
      <w:pPr>
        <w:rPr>
          <w:rFonts w:cstheme="minorHAnsi"/>
          <w:sz w:val="24"/>
          <w:szCs w:val="20"/>
          <w:lang w:val="en-GB" w:eastAsia="fr-FR"/>
        </w:rPr>
      </w:pPr>
      <w:r w:rsidRPr="00163E0F">
        <w:rPr>
          <w:sz w:val="24"/>
          <w:szCs w:val="20"/>
          <w:lang w:val="en"/>
        </w:rPr>
        <w:t>ICC accounts for 7% of business in Africa.</w:t>
      </w:r>
    </w:p>
    <w:p w14:paraId="1B219B74" w14:textId="77777777" w:rsidR="00163E0F" w:rsidRPr="00C00F03" w:rsidRDefault="00163E0F" w:rsidP="00163E0F">
      <w:pPr>
        <w:rPr>
          <w:rFonts w:cstheme="minorHAnsi"/>
          <w:sz w:val="24"/>
          <w:szCs w:val="20"/>
          <w:lang w:val="en-GB" w:eastAsia="fr-FR"/>
        </w:rPr>
      </w:pPr>
    </w:p>
    <w:p w14:paraId="73558056" w14:textId="17EFB876" w:rsidR="00163E0F" w:rsidRPr="00C00F03" w:rsidRDefault="00163E0F" w:rsidP="00163E0F">
      <w:pPr>
        <w:rPr>
          <w:rFonts w:cstheme="minorHAnsi"/>
          <w:sz w:val="24"/>
          <w:szCs w:val="20"/>
          <w:lang w:val="en-GB" w:eastAsia="fr-FR"/>
        </w:rPr>
      </w:pPr>
      <w:r w:rsidRPr="00163E0F">
        <w:rPr>
          <w:sz w:val="24"/>
          <w:szCs w:val="20"/>
          <w:lang w:val="en"/>
        </w:rPr>
        <w:t xml:space="preserve">Of course, if the arbitration is to be performed outside </w:t>
      </w:r>
      <w:r w:rsidR="00C00F03">
        <w:rPr>
          <w:sz w:val="24"/>
          <w:szCs w:val="20"/>
          <w:lang w:val="en"/>
        </w:rPr>
        <w:t>the OHADA</w:t>
      </w:r>
      <w:r w:rsidRPr="00163E0F">
        <w:rPr>
          <w:sz w:val="24"/>
          <w:szCs w:val="20"/>
          <w:lang w:val="en"/>
        </w:rPr>
        <w:t xml:space="preserve"> territory, an exequatur will be required.</w:t>
      </w:r>
    </w:p>
    <w:p w14:paraId="32296339" w14:textId="77777777" w:rsidR="00163E0F" w:rsidRPr="00C00F03" w:rsidRDefault="00163E0F" w:rsidP="00163E0F">
      <w:pPr>
        <w:rPr>
          <w:rFonts w:cstheme="minorHAnsi"/>
          <w:sz w:val="24"/>
          <w:szCs w:val="20"/>
          <w:lang w:val="en-GB" w:eastAsia="fr-FR"/>
        </w:rPr>
      </w:pPr>
    </w:p>
    <w:p w14:paraId="78D03E79" w14:textId="25CFCE2B" w:rsidR="00163E0F" w:rsidRPr="00C00F03" w:rsidRDefault="00163E0F" w:rsidP="00163E0F">
      <w:pPr>
        <w:rPr>
          <w:rFonts w:cstheme="minorHAnsi"/>
          <w:sz w:val="24"/>
          <w:szCs w:val="20"/>
          <w:lang w:val="en-GB" w:eastAsia="fr-FR"/>
        </w:rPr>
      </w:pPr>
      <w:r w:rsidRPr="00163E0F">
        <w:rPr>
          <w:sz w:val="24"/>
          <w:szCs w:val="20"/>
          <w:lang w:val="en"/>
        </w:rPr>
        <w:t>Choos</w:t>
      </w:r>
      <w:r w:rsidR="00C00F03">
        <w:rPr>
          <w:sz w:val="24"/>
          <w:szCs w:val="20"/>
          <w:lang w:val="en"/>
        </w:rPr>
        <w:t>ing</w:t>
      </w:r>
      <w:r w:rsidRPr="00163E0F">
        <w:rPr>
          <w:sz w:val="24"/>
          <w:szCs w:val="20"/>
          <w:lang w:val="en"/>
        </w:rPr>
        <w:t xml:space="preserve"> OHADA law and arbitration. OHADA is a good choice, but it can also be </w:t>
      </w:r>
      <w:r w:rsidR="00C00F03">
        <w:rPr>
          <w:sz w:val="24"/>
          <w:szCs w:val="20"/>
          <w:lang w:val="en"/>
        </w:rPr>
        <w:t>ICC</w:t>
      </w:r>
      <w:r w:rsidRPr="00163E0F">
        <w:rPr>
          <w:sz w:val="24"/>
          <w:szCs w:val="20"/>
          <w:lang w:val="en"/>
        </w:rPr>
        <w:t xml:space="preserve"> arbitration, or Singapore, or LCIA.</w:t>
      </w:r>
    </w:p>
    <w:p w14:paraId="67F98DB5" w14:textId="77777777" w:rsidR="00163E0F" w:rsidRPr="00C00F03" w:rsidRDefault="00163E0F" w:rsidP="00163E0F">
      <w:pPr>
        <w:rPr>
          <w:rFonts w:cstheme="minorHAnsi"/>
          <w:sz w:val="24"/>
          <w:szCs w:val="20"/>
          <w:lang w:val="en-GB" w:eastAsia="fr-FR"/>
        </w:rPr>
      </w:pPr>
    </w:p>
    <w:p w14:paraId="6BBE4C5E" w14:textId="77777777" w:rsidR="00163E0F" w:rsidRPr="00C00F03" w:rsidRDefault="00163E0F" w:rsidP="00163E0F">
      <w:pPr>
        <w:rPr>
          <w:rFonts w:cstheme="minorHAnsi"/>
          <w:sz w:val="24"/>
          <w:szCs w:val="20"/>
          <w:lang w:val="en-GB" w:eastAsia="fr-FR"/>
        </w:rPr>
      </w:pPr>
      <w:r w:rsidRPr="00163E0F">
        <w:rPr>
          <w:sz w:val="24"/>
          <w:szCs w:val="20"/>
          <w:lang w:val="en"/>
        </w:rPr>
        <w:t>The abstract of the presentation is addressed to the participants.</w:t>
      </w:r>
    </w:p>
    <w:p w14:paraId="7E849666" w14:textId="77777777" w:rsidR="00163E0F" w:rsidRPr="00C00F03" w:rsidRDefault="00163E0F" w:rsidP="00163E0F">
      <w:pPr>
        <w:rPr>
          <w:rFonts w:cstheme="minorHAnsi"/>
          <w:sz w:val="24"/>
          <w:szCs w:val="20"/>
          <w:lang w:val="en-GB" w:eastAsia="fr-FR"/>
        </w:rPr>
      </w:pPr>
    </w:p>
    <w:p w14:paraId="3F8AC8C2" w14:textId="4AE51FD0" w:rsidR="00163E0F" w:rsidRPr="00C00F03" w:rsidRDefault="00163E0F" w:rsidP="00163E0F">
      <w:pPr>
        <w:rPr>
          <w:rFonts w:cstheme="minorHAnsi"/>
          <w:sz w:val="24"/>
          <w:szCs w:val="20"/>
          <w:lang w:val="en-GB" w:eastAsia="fr-FR"/>
        </w:rPr>
      </w:pPr>
      <w:r w:rsidRPr="00163E0F">
        <w:rPr>
          <w:sz w:val="24"/>
          <w:szCs w:val="20"/>
          <w:lang w:val="en"/>
        </w:rPr>
        <w:t xml:space="preserve">A questionnaire was sent to all participants, </w:t>
      </w:r>
      <w:proofErr w:type="gramStart"/>
      <w:r w:rsidRPr="00163E0F">
        <w:rPr>
          <w:sz w:val="24"/>
          <w:szCs w:val="20"/>
          <w:lang w:val="en"/>
        </w:rPr>
        <w:t>in particular to</w:t>
      </w:r>
      <w:proofErr w:type="gramEnd"/>
      <w:r w:rsidRPr="00163E0F">
        <w:rPr>
          <w:sz w:val="24"/>
          <w:szCs w:val="20"/>
          <w:lang w:val="en"/>
        </w:rPr>
        <w:t xml:space="preserve"> find out the category of disputes they had to deal with in Africa and the recommendations of </w:t>
      </w:r>
      <w:r w:rsidR="00C00F03">
        <w:rPr>
          <w:sz w:val="24"/>
          <w:szCs w:val="20"/>
          <w:lang w:val="en"/>
        </w:rPr>
        <w:t>local counterparts</w:t>
      </w:r>
      <w:r w:rsidRPr="00163E0F">
        <w:rPr>
          <w:sz w:val="24"/>
          <w:szCs w:val="20"/>
          <w:lang w:val="en"/>
        </w:rPr>
        <w:t>.</w:t>
      </w:r>
    </w:p>
    <w:p w14:paraId="4A447E23" w14:textId="77777777" w:rsidR="00163E0F" w:rsidRPr="00C00F03" w:rsidRDefault="00163E0F" w:rsidP="00163E0F">
      <w:pPr>
        <w:rPr>
          <w:rFonts w:cstheme="minorHAnsi"/>
          <w:sz w:val="24"/>
          <w:szCs w:val="20"/>
          <w:lang w:val="en-GB" w:eastAsia="fr-FR"/>
        </w:rPr>
      </w:pPr>
    </w:p>
    <w:p w14:paraId="40A7DF61" w14:textId="77777777" w:rsidR="00163E0F" w:rsidRPr="00163E0F" w:rsidRDefault="00163E0F" w:rsidP="00163E0F">
      <w:pPr>
        <w:rPr>
          <w:rFonts w:cstheme="minorHAnsi"/>
          <w:sz w:val="24"/>
          <w:szCs w:val="20"/>
          <w:lang w:eastAsia="fr-FR"/>
        </w:rPr>
      </w:pPr>
      <w:r w:rsidRPr="00163E0F">
        <w:rPr>
          <w:sz w:val="24"/>
          <w:szCs w:val="20"/>
          <w:lang w:val="en"/>
        </w:rPr>
        <w:t>We received responses from:</w:t>
      </w:r>
    </w:p>
    <w:p w14:paraId="03315DD7" w14:textId="77777777" w:rsidR="00163E0F" w:rsidRPr="00163E0F" w:rsidRDefault="00163E0F" w:rsidP="00163E0F">
      <w:pPr>
        <w:rPr>
          <w:rFonts w:cstheme="minorHAnsi"/>
          <w:sz w:val="24"/>
          <w:szCs w:val="20"/>
          <w:lang w:eastAsia="fr-FR"/>
        </w:rPr>
      </w:pPr>
    </w:p>
    <w:p w14:paraId="17E9AD2B" w14:textId="77777777" w:rsidR="00163E0F" w:rsidRPr="00163E0F" w:rsidRDefault="00163E0F" w:rsidP="00163E0F">
      <w:pPr>
        <w:numPr>
          <w:ilvl w:val="0"/>
          <w:numId w:val="5"/>
        </w:numPr>
        <w:contextualSpacing/>
        <w:rPr>
          <w:rFonts w:cstheme="minorHAnsi"/>
          <w:sz w:val="24"/>
          <w:szCs w:val="20"/>
          <w:lang w:eastAsia="fr-FR"/>
        </w:rPr>
      </w:pPr>
      <w:r w:rsidRPr="00163E0F">
        <w:rPr>
          <w:sz w:val="24"/>
          <w:szCs w:val="20"/>
          <w:lang w:val="en"/>
        </w:rPr>
        <w:t xml:space="preserve">Baris </w:t>
      </w:r>
      <w:proofErr w:type="spellStart"/>
      <w:r w:rsidRPr="00163E0F">
        <w:rPr>
          <w:sz w:val="24"/>
          <w:szCs w:val="20"/>
          <w:lang w:val="en"/>
        </w:rPr>
        <w:t>Ulker</w:t>
      </w:r>
      <w:proofErr w:type="spellEnd"/>
      <w:r w:rsidRPr="00163E0F">
        <w:rPr>
          <w:sz w:val="24"/>
          <w:szCs w:val="20"/>
          <w:lang w:val="en"/>
        </w:rPr>
        <w:t xml:space="preserve"> for Turkey</w:t>
      </w:r>
    </w:p>
    <w:p w14:paraId="7AA4F69A" w14:textId="77777777" w:rsidR="00163E0F" w:rsidRPr="00163E0F" w:rsidRDefault="00163E0F" w:rsidP="00163E0F">
      <w:pPr>
        <w:numPr>
          <w:ilvl w:val="0"/>
          <w:numId w:val="5"/>
        </w:numPr>
        <w:contextualSpacing/>
        <w:rPr>
          <w:rFonts w:cstheme="minorHAnsi"/>
          <w:sz w:val="24"/>
          <w:szCs w:val="20"/>
          <w:lang w:eastAsia="fr-FR"/>
        </w:rPr>
      </w:pPr>
      <w:r w:rsidRPr="00163E0F">
        <w:rPr>
          <w:sz w:val="24"/>
          <w:szCs w:val="20"/>
          <w:lang w:val="en"/>
        </w:rPr>
        <w:t>Fabienne Legrand for Belgium</w:t>
      </w:r>
    </w:p>
    <w:p w14:paraId="25957AB1" w14:textId="77777777" w:rsidR="00163E0F" w:rsidRPr="00C00F03" w:rsidRDefault="00163E0F" w:rsidP="00163E0F">
      <w:pPr>
        <w:numPr>
          <w:ilvl w:val="0"/>
          <w:numId w:val="5"/>
        </w:numPr>
        <w:contextualSpacing/>
        <w:rPr>
          <w:rFonts w:cstheme="minorHAnsi"/>
          <w:sz w:val="24"/>
          <w:szCs w:val="20"/>
          <w:lang w:val="en-GB" w:eastAsia="fr-FR"/>
        </w:rPr>
      </w:pPr>
      <w:r w:rsidRPr="00163E0F">
        <w:rPr>
          <w:sz w:val="24"/>
          <w:szCs w:val="20"/>
          <w:lang w:val="en"/>
        </w:rPr>
        <w:t>Moritz Schumann for the United States</w:t>
      </w:r>
    </w:p>
    <w:p w14:paraId="72909ECE" w14:textId="77777777" w:rsidR="00163E0F" w:rsidRPr="00163E0F" w:rsidRDefault="00163E0F" w:rsidP="00163E0F">
      <w:pPr>
        <w:numPr>
          <w:ilvl w:val="0"/>
          <w:numId w:val="5"/>
        </w:numPr>
        <w:contextualSpacing/>
        <w:rPr>
          <w:rFonts w:cstheme="minorHAnsi"/>
          <w:sz w:val="24"/>
          <w:szCs w:val="20"/>
          <w:lang w:eastAsia="fr-FR"/>
        </w:rPr>
      </w:pPr>
      <w:r w:rsidRPr="00163E0F">
        <w:rPr>
          <w:sz w:val="24"/>
          <w:szCs w:val="20"/>
          <w:lang w:val="en"/>
        </w:rPr>
        <w:t>Thierry Clerc for France</w:t>
      </w:r>
    </w:p>
    <w:p w14:paraId="3129421E" w14:textId="77777777" w:rsidR="00163E0F" w:rsidRPr="00163E0F" w:rsidRDefault="00163E0F" w:rsidP="00163E0F">
      <w:pPr>
        <w:rPr>
          <w:rFonts w:cstheme="minorHAnsi"/>
          <w:sz w:val="24"/>
          <w:szCs w:val="20"/>
          <w:lang w:eastAsia="fr-FR"/>
        </w:rPr>
      </w:pPr>
    </w:p>
    <w:p w14:paraId="16DA475A" w14:textId="77777777" w:rsidR="00163E0F" w:rsidRPr="00163E0F" w:rsidRDefault="00163E0F" w:rsidP="00163E0F">
      <w:pPr>
        <w:rPr>
          <w:rFonts w:cstheme="minorHAnsi"/>
          <w:sz w:val="24"/>
          <w:szCs w:val="20"/>
          <w:lang w:eastAsia="fr-FR"/>
        </w:rPr>
      </w:pPr>
    </w:p>
    <w:p w14:paraId="4EF001FD" w14:textId="77777777" w:rsidR="00163E0F" w:rsidRPr="00163E0F" w:rsidRDefault="00163E0F" w:rsidP="00163E0F">
      <w:pPr>
        <w:jc w:val="center"/>
        <w:rPr>
          <w:rFonts w:cstheme="minorHAnsi"/>
          <w:b/>
          <w:bCs/>
          <w:sz w:val="30"/>
          <w:szCs w:val="30"/>
          <w:lang w:eastAsia="fr-FR"/>
        </w:rPr>
      </w:pPr>
      <w:r w:rsidRPr="00163E0F">
        <w:rPr>
          <w:b/>
          <w:sz w:val="30"/>
          <w:szCs w:val="30"/>
          <w:lang w:val="en"/>
        </w:rPr>
        <w:t>* * * * *</w:t>
      </w:r>
    </w:p>
    <w:p w14:paraId="68892CE3" w14:textId="77777777" w:rsidR="00163E0F" w:rsidRPr="00163E0F" w:rsidRDefault="00163E0F" w:rsidP="00163E0F">
      <w:pPr>
        <w:rPr>
          <w:rFonts w:cstheme="minorHAnsi"/>
          <w:sz w:val="24"/>
          <w:szCs w:val="20"/>
          <w:lang w:eastAsia="fr-FR"/>
        </w:rPr>
      </w:pPr>
    </w:p>
    <w:p w14:paraId="718BE278" w14:textId="7BD72208" w:rsidR="00163E0F" w:rsidRPr="00C00F03" w:rsidRDefault="00163E0F" w:rsidP="00163E0F">
      <w:pPr>
        <w:rPr>
          <w:rFonts w:cstheme="minorHAnsi"/>
          <w:b/>
          <w:bCs/>
          <w:color w:val="0070C0"/>
          <w:sz w:val="26"/>
          <w:szCs w:val="26"/>
          <w:u w:val="single"/>
          <w:lang w:val="en-GB" w:eastAsia="fr-FR"/>
        </w:rPr>
      </w:pPr>
      <w:r w:rsidRPr="00163E0F">
        <w:rPr>
          <w:b/>
          <w:color w:val="0070C0"/>
          <w:sz w:val="26"/>
          <w:szCs w:val="26"/>
          <w:u w:val="single"/>
          <w:lang w:val="en"/>
        </w:rPr>
        <w:t>Second topic of the seminar: The issuance of</w:t>
      </w:r>
      <w:r w:rsidR="00C00F03">
        <w:rPr>
          <w:b/>
          <w:color w:val="0070C0"/>
          <w:sz w:val="26"/>
          <w:szCs w:val="26"/>
          <w:u w:val="single"/>
          <w:lang w:val="en"/>
        </w:rPr>
        <w:t xml:space="preserve"> writs of</w:t>
      </w:r>
      <w:r w:rsidRPr="00163E0F">
        <w:rPr>
          <w:b/>
          <w:color w:val="0070C0"/>
          <w:sz w:val="26"/>
          <w:szCs w:val="26"/>
          <w:u w:val="single"/>
          <w:lang w:val="en"/>
        </w:rPr>
        <w:t xml:space="preserve"> summons abroad under the European Regulation or the Hague Convention</w:t>
      </w:r>
      <w:r>
        <w:rPr>
          <w:b/>
          <w:color w:val="0070C0"/>
          <w:sz w:val="26"/>
          <w:szCs w:val="26"/>
          <w:u w:val="single"/>
          <w:lang w:val="en"/>
        </w:rPr>
        <w:t xml:space="preserve"> of 15 November 1965.</w:t>
      </w:r>
    </w:p>
    <w:p w14:paraId="1E7C05EA" w14:textId="77777777" w:rsidR="00163E0F" w:rsidRPr="00C00F03" w:rsidRDefault="00163E0F" w:rsidP="00163E0F">
      <w:pPr>
        <w:rPr>
          <w:rFonts w:cstheme="minorHAnsi"/>
          <w:sz w:val="24"/>
          <w:szCs w:val="20"/>
          <w:lang w:val="en-GB" w:eastAsia="fr-FR"/>
        </w:rPr>
      </w:pPr>
    </w:p>
    <w:p w14:paraId="16FBA047" w14:textId="3F5802B0" w:rsidR="00163E0F" w:rsidRPr="00C00F03" w:rsidRDefault="00163E0F" w:rsidP="00163E0F">
      <w:pPr>
        <w:rPr>
          <w:rFonts w:cstheme="minorHAnsi"/>
          <w:sz w:val="24"/>
          <w:szCs w:val="20"/>
          <w:lang w:val="en-GB" w:eastAsia="fr-FR"/>
        </w:rPr>
      </w:pPr>
      <w:r w:rsidRPr="00163E0F">
        <w:rPr>
          <w:sz w:val="24"/>
          <w:szCs w:val="20"/>
          <w:lang w:val="en"/>
        </w:rPr>
        <w:t xml:space="preserve">A questionnaire was also sent to all </w:t>
      </w:r>
      <w:r w:rsidR="00C00F03" w:rsidRPr="00163E0F">
        <w:rPr>
          <w:sz w:val="24"/>
          <w:szCs w:val="20"/>
          <w:lang w:val="en"/>
        </w:rPr>
        <w:t>participants,</w:t>
      </w:r>
      <w:r w:rsidRPr="00163E0F">
        <w:rPr>
          <w:sz w:val="24"/>
          <w:szCs w:val="20"/>
          <w:lang w:val="en"/>
        </w:rPr>
        <w:t xml:space="preserve"> and we received responses for the following countries: Germany, Spain, Turkey, Poland, USA, France, United Kingdom, Finland, Belgium, Monaco, Netherlands.</w:t>
      </w:r>
    </w:p>
    <w:p w14:paraId="4E407518" w14:textId="77777777" w:rsidR="00163E0F" w:rsidRPr="00C00F03" w:rsidRDefault="00163E0F" w:rsidP="00163E0F">
      <w:pPr>
        <w:rPr>
          <w:rFonts w:cstheme="minorHAnsi"/>
          <w:sz w:val="24"/>
          <w:szCs w:val="20"/>
          <w:lang w:val="en-GB" w:eastAsia="fr-FR"/>
        </w:rPr>
      </w:pPr>
    </w:p>
    <w:p w14:paraId="19D9077E" w14:textId="631FC860" w:rsidR="00163E0F" w:rsidRPr="00C00F03" w:rsidRDefault="00163E0F" w:rsidP="00163E0F">
      <w:pPr>
        <w:rPr>
          <w:rFonts w:cstheme="minorHAnsi"/>
          <w:sz w:val="24"/>
          <w:szCs w:val="20"/>
          <w:lang w:val="en-GB" w:eastAsia="fr-FR"/>
        </w:rPr>
      </w:pPr>
      <w:r w:rsidRPr="00163E0F">
        <w:rPr>
          <w:sz w:val="24"/>
          <w:szCs w:val="20"/>
          <w:lang w:val="en"/>
        </w:rPr>
        <w:t xml:space="preserve">The question is whether it is still necessary to go through the requested agency or whether one can use another system, often faster, such as postal services or the direct issuance of a </w:t>
      </w:r>
      <w:r w:rsidR="00C00F03">
        <w:rPr>
          <w:sz w:val="24"/>
          <w:szCs w:val="20"/>
          <w:lang w:val="en"/>
        </w:rPr>
        <w:t xml:space="preserve">writ of </w:t>
      </w:r>
      <w:r w:rsidRPr="00163E0F">
        <w:rPr>
          <w:sz w:val="24"/>
          <w:szCs w:val="20"/>
          <w:lang w:val="en"/>
        </w:rPr>
        <w:t xml:space="preserve">summons by a </w:t>
      </w:r>
      <w:r w:rsidR="00C00F03">
        <w:rPr>
          <w:sz w:val="24"/>
          <w:szCs w:val="20"/>
          <w:lang w:val="en"/>
        </w:rPr>
        <w:t>process server</w:t>
      </w:r>
      <w:r w:rsidRPr="00163E0F">
        <w:rPr>
          <w:sz w:val="24"/>
          <w:szCs w:val="20"/>
          <w:lang w:val="en"/>
        </w:rPr>
        <w:t xml:space="preserve"> or an agent of the country of issue of the summons.</w:t>
      </w:r>
    </w:p>
    <w:p w14:paraId="36012439" w14:textId="77777777" w:rsidR="00163E0F" w:rsidRPr="00C00F03" w:rsidRDefault="00163E0F" w:rsidP="00163E0F">
      <w:pPr>
        <w:rPr>
          <w:rFonts w:cstheme="minorHAnsi"/>
          <w:sz w:val="24"/>
          <w:szCs w:val="20"/>
          <w:lang w:val="en-GB" w:eastAsia="fr-FR"/>
        </w:rPr>
      </w:pPr>
    </w:p>
    <w:p w14:paraId="64D76211" w14:textId="04799A16" w:rsidR="00163E0F" w:rsidRPr="00C00F03" w:rsidRDefault="00163E0F" w:rsidP="00163E0F">
      <w:pPr>
        <w:rPr>
          <w:rFonts w:cstheme="minorHAnsi"/>
          <w:sz w:val="24"/>
          <w:szCs w:val="20"/>
          <w:lang w:val="en-GB" w:eastAsia="fr-FR"/>
        </w:rPr>
      </w:pPr>
      <w:r w:rsidRPr="00163E0F">
        <w:rPr>
          <w:sz w:val="24"/>
          <w:szCs w:val="20"/>
          <w:lang w:val="en"/>
        </w:rPr>
        <w:lastRenderedPageBreak/>
        <w:t xml:space="preserve">For </w:t>
      </w:r>
      <w:proofErr w:type="gramStart"/>
      <w:r w:rsidRPr="00163E0F">
        <w:rPr>
          <w:sz w:val="24"/>
          <w:szCs w:val="20"/>
          <w:lang w:val="en"/>
        </w:rPr>
        <w:t>example</w:t>
      </w:r>
      <w:proofErr w:type="gramEnd"/>
      <w:r w:rsidRPr="00163E0F">
        <w:rPr>
          <w:sz w:val="24"/>
          <w:szCs w:val="20"/>
          <w:lang w:val="en"/>
        </w:rPr>
        <w:t xml:space="preserve"> in the United Kingdom, there </w:t>
      </w:r>
      <w:r w:rsidR="00C00F03">
        <w:rPr>
          <w:sz w:val="24"/>
          <w:szCs w:val="20"/>
          <w:lang w:val="en"/>
        </w:rPr>
        <w:t>are</w:t>
      </w:r>
      <w:r w:rsidRPr="00163E0F">
        <w:rPr>
          <w:sz w:val="24"/>
          <w:szCs w:val="20"/>
          <w:lang w:val="en"/>
        </w:rPr>
        <w:t xml:space="preserve"> no </w:t>
      </w:r>
      <w:r w:rsidR="00C00F03">
        <w:rPr>
          <w:sz w:val="24"/>
          <w:szCs w:val="20"/>
          <w:lang w:val="en"/>
        </w:rPr>
        <w:t>process servers</w:t>
      </w:r>
      <w:r w:rsidRPr="00163E0F">
        <w:rPr>
          <w:sz w:val="24"/>
          <w:szCs w:val="20"/>
          <w:lang w:val="en"/>
        </w:rPr>
        <w:t xml:space="preserve"> but it is the solicitors who can proceed with the issue.</w:t>
      </w:r>
    </w:p>
    <w:p w14:paraId="35DA0B54" w14:textId="77777777" w:rsidR="00163E0F" w:rsidRPr="00C00F03" w:rsidRDefault="00163E0F" w:rsidP="00163E0F">
      <w:pPr>
        <w:rPr>
          <w:rFonts w:cstheme="minorHAnsi"/>
          <w:sz w:val="24"/>
          <w:szCs w:val="20"/>
          <w:lang w:val="en-GB" w:eastAsia="fr-FR"/>
        </w:rPr>
      </w:pPr>
    </w:p>
    <w:p w14:paraId="08F1779A" w14:textId="0CC4FD87" w:rsidR="00163E0F" w:rsidRPr="00C00F03" w:rsidRDefault="00163E0F" w:rsidP="00163E0F">
      <w:pPr>
        <w:rPr>
          <w:rFonts w:cstheme="minorHAnsi"/>
          <w:sz w:val="24"/>
          <w:szCs w:val="20"/>
          <w:lang w:val="en-GB" w:eastAsia="fr-FR"/>
        </w:rPr>
      </w:pPr>
      <w:r w:rsidRPr="00163E0F">
        <w:rPr>
          <w:sz w:val="24"/>
          <w:szCs w:val="20"/>
          <w:lang w:val="en"/>
        </w:rPr>
        <w:t>Another question may arise concerning the limitation period when a document must be issued before the expiry of the time</w:t>
      </w:r>
      <w:r>
        <w:rPr>
          <w:sz w:val="24"/>
          <w:szCs w:val="20"/>
          <w:lang w:val="en"/>
        </w:rPr>
        <w:t>limit. What</w:t>
      </w:r>
      <w:r w:rsidR="00FB2DFD">
        <w:rPr>
          <w:sz w:val="24"/>
          <w:szCs w:val="20"/>
          <w:lang w:val="en"/>
        </w:rPr>
        <w:t xml:space="preserve"> </w:t>
      </w:r>
      <w:r w:rsidRPr="00163E0F">
        <w:rPr>
          <w:sz w:val="24"/>
          <w:szCs w:val="20"/>
          <w:lang w:val="en"/>
        </w:rPr>
        <w:t xml:space="preserve">is the date to </w:t>
      </w:r>
      <w:proofErr w:type="gramStart"/>
      <w:r w:rsidRPr="00163E0F">
        <w:rPr>
          <w:sz w:val="24"/>
          <w:szCs w:val="20"/>
          <w:lang w:val="en"/>
        </w:rPr>
        <w:t>take into account</w:t>
      </w:r>
      <w:proofErr w:type="gramEnd"/>
      <w:r w:rsidRPr="00163E0F">
        <w:rPr>
          <w:sz w:val="24"/>
          <w:szCs w:val="20"/>
          <w:lang w:val="en"/>
        </w:rPr>
        <w:t>?</w:t>
      </w:r>
      <w:r>
        <w:rPr>
          <w:lang w:val="en"/>
        </w:rPr>
        <w:t xml:space="preserve">  </w:t>
      </w:r>
      <w:r w:rsidR="00C00F03">
        <w:rPr>
          <w:lang w:val="en"/>
        </w:rPr>
        <w:t>I</w:t>
      </w:r>
      <w:r w:rsidRPr="00163E0F">
        <w:rPr>
          <w:sz w:val="24"/>
          <w:szCs w:val="20"/>
          <w:lang w:val="en"/>
        </w:rPr>
        <w:t xml:space="preserve">s it that of </w:t>
      </w:r>
      <w:r w:rsidR="00C00F03">
        <w:rPr>
          <w:sz w:val="24"/>
          <w:szCs w:val="20"/>
          <w:lang w:val="en"/>
        </w:rPr>
        <w:t xml:space="preserve">the </w:t>
      </w:r>
      <w:r w:rsidRPr="00163E0F">
        <w:rPr>
          <w:sz w:val="24"/>
          <w:szCs w:val="20"/>
          <w:lang w:val="en"/>
        </w:rPr>
        <w:t xml:space="preserve">sending to the requested agency, that of receipt by the requested agency, that of delivery by the requested agency or by the </w:t>
      </w:r>
      <w:r w:rsidR="00C00F03">
        <w:rPr>
          <w:sz w:val="24"/>
          <w:szCs w:val="20"/>
          <w:lang w:val="en"/>
        </w:rPr>
        <w:t>local process server</w:t>
      </w:r>
      <w:r w:rsidRPr="00163E0F">
        <w:rPr>
          <w:sz w:val="24"/>
          <w:szCs w:val="20"/>
          <w:lang w:val="en"/>
        </w:rPr>
        <w:t xml:space="preserve"> to the defendant?</w:t>
      </w:r>
    </w:p>
    <w:p w14:paraId="3285F981" w14:textId="77777777" w:rsidR="00163E0F" w:rsidRPr="00C00F03" w:rsidRDefault="00163E0F" w:rsidP="00163E0F">
      <w:pPr>
        <w:rPr>
          <w:rFonts w:cstheme="minorHAnsi"/>
          <w:sz w:val="24"/>
          <w:szCs w:val="20"/>
          <w:lang w:val="en-GB" w:eastAsia="fr-FR"/>
        </w:rPr>
      </w:pPr>
    </w:p>
    <w:p w14:paraId="58C1AA4B" w14:textId="77777777" w:rsidR="00163E0F" w:rsidRPr="00C00F03" w:rsidRDefault="00163E0F" w:rsidP="00163E0F">
      <w:pPr>
        <w:rPr>
          <w:rFonts w:cstheme="minorHAnsi"/>
          <w:sz w:val="24"/>
          <w:szCs w:val="20"/>
          <w:lang w:val="en-GB" w:eastAsia="fr-FR"/>
        </w:rPr>
      </w:pPr>
      <w:r w:rsidRPr="00163E0F">
        <w:rPr>
          <w:sz w:val="24"/>
          <w:szCs w:val="20"/>
          <w:lang w:val="en"/>
        </w:rPr>
        <w:t>Various replies were given to the questionnaire.</w:t>
      </w:r>
    </w:p>
    <w:p w14:paraId="18AEF6AF" w14:textId="77777777" w:rsidR="00163E0F" w:rsidRPr="00C00F03" w:rsidRDefault="00163E0F" w:rsidP="00163E0F">
      <w:pPr>
        <w:rPr>
          <w:rFonts w:cstheme="minorHAnsi"/>
          <w:sz w:val="24"/>
          <w:szCs w:val="20"/>
          <w:lang w:val="en-GB" w:eastAsia="fr-FR"/>
        </w:rPr>
      </w:pPr>
    </w:p>
    <w:p w14:paraId="0B3A5F95" w14:textId="77777777" w:rsidR="00163E0F" w:rsidRPr="00C00F03" w:rsidRDefault="00163E0F" w:rsidP="00163E0F">
      <w:pPr>
        <w:rPr>
          <w:rFonts w:cstheme="minorHAnsi"/>
          <w:sz w:val="24"/>
          <w:szCs w:val="20"/>
          <w:lang w:val="en-GB" w:eastAsia="fr-FR"/>
        </w:rPr>
      </w:pPr>
    </w:p>
    <w:p w14:paraId="59719FF5" w14:textId="77777777" w:rsidR="00163E0F" w:rsidRPr="00C00F03" w:rsidRDefault="00163E0F" w:rsidP="00163E0F">
      <w:pPr>
        <w:jc w:val="center"/>
        <w:rPr>
          <w:rFonts w:cstheme="minorHAnsi"/>
          <w:b/>
          <w:bCs/>
          <w:sz w:val="30"/>
          <w:szCs w:val="30"/>
          <w:lang w:val="en-GB" w:eastAsia="fr-FR"/>
        </w:rPr>
      </w:pPr>
      <w:r w:rsidRPr="00163E0F">
        <w:rPr>
          <w:b/>
          <w:sz w:val="30"/>
          <w:szCs w:val="30"/>
          <w:lang w:val="en"/>
        </w:rPr>
        <w:t>* * * * *</w:t>
      </w:r>
    </w:p>
    <w:p w14:paraId="7712691F" w14:textId="77777777" w:rsidR="00163E0F" w:rsidRPr="00C00F03" w:rsidRDefault="00163E0F" w:rsidP="00163E0F">
      <w:pPr>
        <w:rPr>
          <w:rFonts w:cstheme="minorHAnsi"/>
          <w:sz w:val="24"/>
          <w:szCs w:val="20"/>
          <w:lang w:val="en-GB" w:eastAsia="fr-FR"/>
        </w:rPr>
      </w:pPr>
    </w:p>
    <w:p w14:paraId="1857B26A" w14:textId="77777777" w:rsidR="00163E0F" w:rsidRPr="00C00F03" w:rsidRDefault="00163E0F" w:rsidP="00163E0F">
      <w:pPr>
        <w:rPr>
          <w:rFonts w:cstheme="minorHAnsi"/>
          <w:b/>
          <w:bCs/>
          <w:color w:val="0070C0"/>
          <w:sz w:val="26"/>
          <w:szCs w:val="26"/>
          <w:u w:val="single"/>
          <w:lang w:val="en-GB" w:eastAsia="fr-FR"/>
        </w:rPr>
      </w:pPr>
      <w:r w:rsidRPr="00163E0F">
        <w:rPr>
          <w:b/>
          <w:color w:val="0070C0"/>
          <w:sz w:val="26"/>
          <w:szCs w:val="26"/>
          <w:u w:val="single"/>
          <w:lang w:val="en"/>
        </w:rPr>
        <w:t>Next meeting: Tallinn on 13 May 2022.</w:t>
      </w:r>
    </w:p>
    <w:p w14:paraId="77645290" w14:textId="77777777" w:rsidR="00163E0F" w:rsidRPr="00C00F03" w:rsidRDefault="00163E0F" w:rsidP="00163E0F">
      <w:pPr>
        <w:rPr>
          <w:rFonts w:cstheme="minorHAnsi"/>
          <w:sz w:val="24"/>
          <w:szCs w:val="20"/>
          <w:lang w:val="en-GB" w:eastAsia="fr-FR"/>
        </w:rPr>
      </w:pPr>
    </w:p>
    <w:p w14:paraId="5EC05825" w14:textId="77777777" w:rsidR="00163E0F" w:rsidRPr="00163E0F" w:rsidRDefault="00163E0F" w:rsidP="00163E0F">
      <w:pPr>
        <w:rPr>
          <w:rFonts w:cstheme="minorHAnsi"/>
          <w:sz w:val="24"/>
          <w:szCs w:val="20"/>
          <w:lang w:eastAsia="fr-FR"/>
        </w:rPr>
      </w:pPr>
      <w:r w:rsidRPr="00163E0F">
        <w:rPr>
          <w:sz w:val="24"/>
          <w:szCs w:val="20"/>
          <w:lang w:val="en"/>
        </w:rPr>
        <w:t>Topic proposals:</w:t>
      </w:r>
    </w:p>
    <w:p w14:paraId="14026AC5" w14:textId="77777777" w:rsidR="00163E0F" w:rsidRPr="00163E0F" w:rsidRDefault="00163E0F" w:rsidP="00163E0F">
      <w:pPr>
        <w:rPr>
          <w:rFonts w:cstheme="minorHAnsi"/>
          <w:sz w:val="24"/>
          <w:szCs w:val="20"/>
          <w:lang w:eastAsia="fr-FR"/>
        </w:rPr>
      </w:pPr>
    </w:p>
    <w:p w14:paraId="3BC6CD8D" w14:textId="77777777" w:rsidR="00163E0F" w:rsidRPr="00C00F03" w:rsidRDefault="00163E0F" w:rsidP="00163E0F">
      <w:pPr>
        <w:numPr>
          <w:ilvl w:val="0"/>
          <w:numId w:val="5"/>
        </w:numPr>
        <w:contextualSpacing/>
        <w:rPr>
          <w:rFonts w:cstheme="minorHAnsi"/>
          <w:sz w:val="24"/>
          <w:szCs w:val="20"/>
          <w:lang w:val="en-GB" w:eastAsia="fr-FR"/>
        </w:rPr>
      </w:pPr>
      <w:r w:rsidRPr="00163E0F">
        <w:rPr>
          <w:sz w:val="24"/>
          <w:szCs w:val="20"/>
          <w:lang w:val="en"/>
        </w:rPr>
        <w:t>Benedykt Fiutowski: Communication between lawyers and courts.</w:t>
      </w:r>
    </w:p>
    <w:p w14:paraId="54C866B9" w14:textId="77777777" w:rsidR="00163E0F" w:rsidRPr="00C00F03" w:rsidRDefault="00163E0F" w:rsidP="00163E0F">
      <w:pPr>
        <w:rPr>
          <w:rFonts w:cstheme="minorHAnsi"/>
          <w:sz w:val="24"/>
          <w:szCs w:val="20"/>
          <w:lang w:val="en-GB" w:eastAsia="fr-FR"/>
        </w:rPr>
      </w:pPr>
    </w:p>
    <w:p w14:paraId="2719B282" w14:textId="77777777" w:rsidR="00163E0F" w:rsidRPr="00C00F03" w:rsidRDefault="00163E0F" w:rsidP="00163E0F">
      <w:pPr>
        <w:numPr>
          <w:ilvl w:val="0"/>
          <w:numId w:val="5"/>
        </w:numPr>
        <w:contextualSpacing/>
        <w:rPr>
          <w:rFonts w:cstheme="minorHAnsi"/>
          <w:sz w:val="24"/>
          <w:szCs w:val="20"/>
          <w:lang w:val="en-GB" w:eastAsia="fr-FR"/>
        </w:rPr>
      </w:pPr>
      <w:r w:rsidRPr="00163E0F">
        <w:rPr>
          <w:sz w:val="24"/>
          <w:szCs w:val="20"/>
          <w:lang w:val="en"/>
        </w:rPr>
        <w:t>Thierry Clerc: Limitation period for various legal actions.</w:t>
      </w:r>
    </w:p>
    <w:p w14:paraId="1FE1DCE7" w14:textId="77777777" w:rsidR="00163E0F" w:rsidRPr="00C00F03" w:rsidRDefault="00163E0F" w:rsidP="00163E0F">
      <w:pPr>
        <w:ind w:left="720"/>
        <w:contextualSpacing/>
        <w:rPr>
          <w:rFonts w:cstheme="minorHAnsi"/>
          <w:sz w:val="24"/>
          <w:szCs w:val="20"/>
          <w:lang w:val="en-GB" w:eastAsia="fr-FR"/>
        </w:rPr>
      </w:pPr>
    </w:p>
    <w:p w14:paraId="36E43BD2" w14:textId="1ECC10B7" w:rsidR="00163E0F" w:rsidRPr="00C00F03" w:rsidRDefault="00163E0F" w:rsidP="00163E0F">
      <w:pPr>
        <w:numPr>
          <w:ilvl w:val="0"/>
          <w:numId w:val="5"/>
        </w:numPr>
        <w:contextualSpacing/>
        <w:rPr>
          <w:rFonts w:cstheme="minorHAnsi"/>
          <w:sz w:val="24"/>
          <w:szCs w:val="20"/>
          <w:lang w:val="en-GB" w:eastAsia="fr-FR"/>
        </w:rPr>
      </w:pPr>
      <w:r w:rsidRPr="00163E0F">
        <w:rPr>
          <w:sz w:val="24"/>
          <w:szCs w:val="20"/>
          <w:lang w:val="en"/>
        </w:rPr>
        <w:t xml:space="preserve">Alejandro Espada: </w:t>
      </w:r>
      <w:r w:rsidR="00C00F03">
        <w:rPr>
          <w:sz w:val="24"/>
          <w:szCs w:val="20"/>
          <w:lang w:val="en"/>
        </w:rPr>
        <w:t>Estate</w:t>
      </w:r>
      <w:r w:rsidRPr="00163E0F">
        <w:rPr>
          <w:sz w:val="24"/>
          <w:szCs w:val="20"/>
          <w:lang w:val="en"/>
        </w:rPr>
        <w:t xml:space="preserve"> litigation in Germany and Spain.</w:t>
      </w:r>
    </w:p>
    <w:p w14:paraId="6CD7C014" w14:textId="77777777" w:rsidR="00163E0F" w:rsidRPr="00C00F03" w:rsidRDefault="00163E0F" w:rsidP="00163E0F">
      <w:pPr>
        <w:ind w:left="720"/>
        <w:contextualSpacing/>
        <w:rPr>
          <w:rFonts w:cstheme="minorHAnsi"/>
          <w:sz w:val="24"/>
          <w:szCs w:val="20"/>
          <w:lang w:val="en-GB" w:eastAsia="fr-FR"/>
        </w:rPr>
      </w:pPr>
    </w:p>
    <w:p w14:paraId="2BF0A279" w14:textId="77777777" w:rsidR="00163E0F" w:rsidRPr="00C00F03" w:rsidRDefault="00163E0F" w:rsidP="00163E0F">
      <w:pPr>
        <w:numPr>
          <w:ilvl w:val="0"/>
          <w:numId w:val="5"/>
        </w:numPr>
        <w:contextualSpacing/>
        <w:rPr>
          <w:rFonts w:cstheme="minorHAnsi"/>
          <w:sz w:val="24"/>
          <w:szCs w:val="20"/>
          <w:lang w:val="en-GB" w:eastAsia="fr-FR"/>
        </w:rPr>
      </w:pPr>
      <w:r w:rsidRPr="00163E0F">
        <w:rPr>
          <w:sz w:val="24"/>
          <w:szCs w:val="20"/>
          <w:lang w:val="en"/>
        </w:rPr>
        <w:t>Presentation of a topic on contracts and litigation in Estonian law.</w:t>
      </w:r>
    </w:p>
    <w:p w14:paraId="4995C250" w14:textId="77777777" w:rsidR="00163E0F" w:rsidRPr="00C00F03" w:rsidRDefault="00163E0F" w:rsidP="00163E0F">
      <w:pPr>
        <w:ind w:left="720"/>
        <w:contextualSpacing/>
        <w:rPr>
          <w:rFonts w:cstheme="minorHAnsi"/>
          <w:sz w:val="24"/>
          <w:szCs w:val="20"/>
          <w:lang w:val="en-GB" w:eastAsia="fr-FR"/>
        </w:rPr>
      </w:pPr>
    </w:p>
    <w:p w14:paraId="114C6669" w14:textId="77777777" w:rsidR="00163E0F" w:rsidRPr="00C00F03" w:rsidRDefault="00163E0F" w:rsidP="00163E0F">
      <w:pPr>
        <w:ind w:left="720"/>
        <w:contextualSpacing/>
        <w:rPr>
          <w:rFonts w:cstheme="minorHAnsi"/>
          <w:sz w:val="24"/>
          <w:szCs w:val="20"/>
          <w:lang w:val="en-GB" w:eastAsia="fr-FR"/>
        </w:rPr>
      </w:pPr>
    </w:p>
    <w:p w14:paraId="3B017A79" w14:textId="77777777" w:rsidR="00163E0F" w:rsidRPr="00C00F03" w:rsidRDefault="00163E0F" w:rsidP="00163E0F">
      <w:pPr>
        <w:jc w:val="center"/>
        <w:rPr>
          <w:rFonts w:cstheme="minorHAnsi"/>
          <w:b/>
          <w:bCs/>
          <w:sz w:val="30"/>
          <w:szCs w:val="30"/>
          <w:lang w:val="en-GB" w:eastAsia="fr-FR"/>
        </w:rPr>
      </w:pPr>
      <w:r w:rsidRPr="00163E0F">
        <w:rPr>
          <w:b/>
          <w:sz w:val="30"/>
          <w:szCs w:val="30"/>
          <w:lang w:val="en"/>
        </w:rPr>
        <w:t>* * * * *</w:t>
      </w:r>
    </w:p>
    <w:p w14:paraId="42C453DE" w14:textId="77777777" w:rsidR="00163E0F" w:rsidRPr="00C00F03" w:rsidRDefault="00163E0F" w:rsidP="00163E0F">
      <w:pPr>
        <w:rPr>
          <w:rFonts w:cstheme="minorHAnsi"/>
          <w:sz w:val="24"/>
          <w:szCs w:val="20"/>
          <w:lang w:val="en-GB" w:eastAsia="fr-FR"/>
        </w:rPr>
      </w:pPr>
    </w:p>
    <w:p w14:paraId="00D2324F" w14:textId="77777777" w:rsidR="00163E0F" w:rsidRPr="00C00F03" w:rsidRDefault="00163E0F" w:rsidP="00163E0F">
      <w:pPr>
        <w:rPr>
          <w:rFonts w:cstheme="minorHAnsi"/>
          <w:b/>
          <w:bCs/>
          <w:color w:val="0070C0"/>
          <w:sz w:val="26"/>
          <w:szCs w:val="26"/>
          <w:u w:val="single"/>
          <w:lang w:val="en-GB" w:eastAsia="fr-FR"/>
        </w:rPr>
      </w:pPr>
      <w:r w:rsidRPr="00163E0F">
        <w:rPr>
          <w:b/>
          <w:color w:val="0070C0"/>
          <w:sz w:val="26"/>
          <w:szCs w:val="26"/>
          <w:u w:val="single"/>
          <w:lang w:val="en"/>
        </w:rPr>
        <w:t>Visit of the International Chamber of the Commercial Court.</w:t>
      </w:r>
    </w:p>
    <w:p w14:paraId="1AE0BF31" w14:textId="77777777" w:rsidR="00163E0F" w:rsidRPr="00C00F03" w:rsidRDefault="00163E0F" w:rsidP="00163E0F">
      <w:pPr>
        <w:rPr>
          <w:rFonts w:cstheme="minorHAnsi"/>
          <w:sz w:val="24"/>
          <w:szCs w:val="20"/>
          <w:lang w:val="en-GB" w:eastAsia="fr-FR"/>
        </w:rPr>
      </w:pPr>
    </w:p>
    <w:p w14:paraId="3B138103" w14:textId="77777777" w:rsidR="00163E0F" w:rsidRPr="00C00F03" w:rsidRDefault="00163E0F" w:rsidP="00163E0F">
      <w:pPr>
        <w:rPr>
          <w:rFonts w:cstheme="minorHAnsi"/>
          <w:sz w:val="24"/>
          <w:szCs w:val="20"/>
          <w:lang w:val="en-GB" w:eastAsia="fr-FR"/>
        </w:rPr>
      </w:pPr>
      <w:r w:rsidRPr="00163E0F">
        <w:rPr>
          <w:sz w:val="24"/>
          <w:szCs w:val="20"/>
          <w:lang w:val="en"/>
        </w:rPr>
        <w:t>Presentation by two Judges of the Commercial Court.</w:t>
      </w:r>
    </w:p>
    <w:p w14:paraId="764916A2" w14:textId="77777777" w:rsidR="00163E0F" w:rsidRPr="00C00F03" w:rsidRDefault="00163E0F" w:rsidP="00163E0F">
      <w:pPr>
        <w:rPr>
          <w:rFonts w:cstheme="minorHAnsi"/>
          <w:sz w:val="24"/>
          <w:szCs w:val="20"/>
          <w:lang w:val="en-GB" w:eastAsia="fr-FR"/>
        </w:rPr>
      </w:pPr>
    </w:p>
    <w:p w14:paraId="6CF63265" w14:textId="29532878" w:rsidR="00163E0F" w:rsidRPr="00C00F03" w:rsidRDefault="00163E0F" w:rsidP="00163E0F">
      <w:pPr>
        <w:rPr>
          <w:rFonts w:cstheme="minorHAnsi"/>
          <w:sz w:val="24"/>
          <w:szCs w:val="20"/>
          <w:lang w:val="en-GB" w:eastAsia="fr-FR"/>
        </w:rPr>
      </w:pPr>
      <w:r w:rsidRPr="00163E0F">
        <w:rPr>
          <w:sz w:val="24"/>
          <w:szCs w:val="20"/>
          <w:lang w:val="en"/>
        </w:rPr>
        <w:t xml:space="preserve">To be a Judge in this Chamber, you must have had an international career, speak </w:t>
      </w:r>
      <w:proofErr w:type="gramStart"/>
      <w:r w:rsidRPr="00163E0F">
        <w:rPr>
          <w:sz w:val="24"/>
          <w:szCs w:val="20"/>
          <w:lang w:val="en"/>
        </w:rPr>
        <w:t>English</w:t>
      </w:r>
      <w:proofErr w:type="gramEnd"/>
      <w:r w:rsidRPr="00163E0F">
        <w:rPr>
          <w:sz w:val="24"/>
          <w:szCs w:val="20"/>
          <w:lang w:val="en"/>
        </w:rPr>
        <w:t xml:space="preserve"> and have </w:t>
      </w:r>
      <w:r w:rsidR="00C00F03">
        <w:rPr>
          <w:sz w:val="24"/>
          <w:szCs w:val="20"/>
          <w:lang w:val="en"/>
        </w:rPr>
        <w:t>worked</w:t>
      </w:r>
      <w:r w:rsidRPr="00163E0F">
        <w:rPr>
          <w:sz w:val="24"/>
          <w:szCs w:val="20"/>
          <w:lang w:val="en"/>
        </w:rPr>
        <w:t xml:space="preserve"> internationally for 20 years.</w:t>
      </w:r>
    </w:p>
    <w:p w14:paraId="3BF83C1C" w14:textId="77777777" w:rsidR="00163E0F" w:rsidRPr="00C00F03" w:rsidRDefault="00163E0F" w:rsidP="00163E0F">
      <w:pPr>
        <w:rPr>
          <w:rFonts w:cstheme="minorHAnsi"/>
          <w:sz w:val="24"/>
          <w:szCs w:val="20"/>
          <w:lang w:val="en-GB" w:eastAsia="fr-FR"/>
        </w:rPr>
      </w:pPr>
    </w:p>
    <w:p w14:paraId="3D26DBE8" w14:textId="11EDAF32" w:rsidR="00163E0F" w:rsidRPr="00C00F03" w:rsidRDefault="00163E0F" w:rsidP="00163E0F">
      <w:pPr>
        <w:rPr>
          <w:rFonts w:cstheme="minorHAnsi"/>
          <w:sz w:val="24"/>
          <w:szCs w:val="20"/>
          <w:lang w:val="en-GB" w:eastAsia="fr-FR"/>
        </w:rPr>
      </w:pPr>
      <w:r w:rsidRPr="00163E0F">
        <w:rPr>
          <w:sz w:val="24"/>
          <w:szCs w:val="20"/>
          <w:lang w:val="en"/>
        </w:rPr>
        <w:t xml:space="preserve">The proceedings before the </w:t>
      </w:r>
      <w:r w:rsidR="00C00F03">
        <w:rPr>
          <w:sz w:val="24"/>
          <w:szCs w:val="20"/>
          <w:lang w:val="en"/>
        </w:rPr>
        <w:t>Court</w:t>
      </w:r>
      <w:r w:rsidRPr="00163E0F">
        <w:rPr>
          <w:sz w:val="24"/>
          <w:szCs w:val="20"/>
          <w:lang w:val="en"/>
        </w:rPr>
        <w:t xml:space="preserve"> include </w:t>
      </w:r>
      <w:r w:rsidR="00C00F03">
        <w:rPr>
          <w:sz w:val="24"/>
          <w:szCs w:val="20"/>
          <w:lang w:val="en"/>
        </w:rPr>
        <w:t>stages</w:t>
      </w:r>
      <w:r w:rsidRPr="00163E0F">
        <w:rPr>
          <w:sz w:val="24"/>
          <w:szCs w:val="20"/>
          <w:lang w:val="en"/>
        </w:rPr>
        <w:t xml:space="preserve"> in both French and English.</w:t>
      </w:r>
    </w:p>
    <w:p w14:paraId="16CF360A" w14:textId="77777777" w:rsidR="00163E0F" w:rsidRPr="00C00F03" w:rsidRDefault="00163E0F" w:rsidP="00163E0F">
      <w:pPr>
        <w:rPr>
          <w:rFonts w:cstheme="minorHAnsi"/>
          <w:sz w:val="24"/>
          <w:szCs w:val="20"/>
          <w:lang w:val="en-GB" w:eastAsia="fr-FR"/>
        </w:rPr>
      </w:pPr>
    </w:p>
    <w:p w14:paraId="2658E08C" w14:textId="77777777" w:rsidR="00163E0F" w:rsidRPr="00C00F03" w:rsidRDefault="00163E0F" w:rsidP="00163E0F">
      <w:pPr>
        <w:rPr>
          <w:rFonts w:cstheme="minorHAnsi"/>
          <w:sz w:val="24"/>
          <w:szCs w:val="20"/>
          <w:lang w:val="en-GB" w:eastAsia="fr-FR"/>
        </w:rPr>
      </w:pPr>
      <w:r w:rsidRPr="00163E0F">
        <w:rPr>
          <w:sz w:val="24"/>
          <w:szCs w:val="20"/>
          <w:lang w:val="en"/>
        </w:rPr>
        <w:lastRenderedPageBreak/>
        <w:t>Documents can be transmitted in English.</w:t>
      </w:r>
    </w:p>
    <w:p w14:paraId="3AAB1634" w14:textId="77777777" w:rsidR="00163E0F" w:rsidRPr="00C00F03" w:rsidRDefault="00163E0F" w:rsidP="00163E0F">
      <w:pPr>
        <w:rPr>
          <w:rFonts w:cstheme="minorHAnsi"/>
          <w:sz w:val="24"/>
          <w:szCs w:val="20"/>
          <w:lang w:val="en-GB" w:eastAsia="fr-FR"/>
        </w:rPr>
      </w:pPr>
    </w:p>
    <w:p w14:paraId="507F9D56" w14:textId="3608150E" w:rsidR="00163E0F" w:rsidRPr="00C00F03" w:rsidRDefault="00C00F03" w:rsidP="00163E0F">
      <w:pPr>
        <w:rPr>
          <w:rFonts w:cstheme="minorHAnsi"/>
          <w:sz w:val="24"/>
          <w:szCs w:val="20"/>
          <w:lang w:val="en-GB" w:eastAsia="fr-FR"/>
        </w:rPr>
      </w:pPr>
      <w:r>
        <w:rPr>
          <w:sz w:val="24"/>
          <w:szCs w:val="20"/>
          <w:lang w:val="en"/>
        </w:rPr>
        <w:t>Submissions</w:t>
      </w:r>
      <w:r w:rsidR="00163E0F" w:rsidRPr="00163E0F">
        <w:rPr>
          <w:sz w:val="24"/>
          <w:szCs w:val="20"/>
          <w:lang w:val="en"/>
        </w:rPr>
        <w:t xml:space="preserve"> must be drawn in French.</w:t>
      </w:r>
    </w:p>
    <w:p w14:paraId="4AC3BAEB" w14:textId="77777777" w:rsidR="00163E0F" w:rsidRPr="00C00F03" w:rsidRDefault="00163E0F" w:rsidP="00163E0F">
      <w:pPr>
        <w:rPr>
          <w:rFonts w:cstheme="minorHAnsi"/>
          <w:sz w:val="24"/>
          <w:szCs w:val="20"/>
          <w:lang w:val="en-GB" w:eastAsia="fr-FR"/>
        </w:rPr>
      </w:pPr>
    </w:p>
    <w:p w14:paraId="51E69892" w14:textId="21152423" w:rsidR="00163E0F" w:rsidRPr="00C00F03" w:rsidRDefault="00163E0F" w:rsidP="00163E0F">
      <w:pPr>
        <w:rPr>
          <w:rFonts w:cstheme="minorHAnsi"/>
          <w:sz w:val="24"/>
          <w:szCs w:val="20"/>
          <w:lang w:val="en-GB" w:eastAsia="fr-FR"/>
        </w:rPr>
      </w:pPr>
      <w:r w:rsidRPr="00163E0F">
        <w:rPr>
          <w:sz w:val="24"/>
          <w:szCs w:val="20"/>
          <w:lang w:val="en"/>
        </w:rPr>
        <w:t xml:space="preserve">The judgment is </w:t>
      </w:r>
      <w:r w:rsidR="00C00F03">
        <w:rPr>
          <w:sz w:val="24"/>
          <w:szCs w:val="20"/>
          <w:lang w:val="en"/>
        </w:rPr>
        <w:t>delivered</w:t>
      </w:r>
      <w:r w:rsidRPr="00163E0F">
        <w:rPr>
          <w:sz w:val="24"/>
          <w:szCs w:val="20"/>
          <w:lang w:val="en"/>
        </w:rPr>
        <w:t xml:space="preserve"> in French.</w:t>
      </w:r>
    </w:p>
    <w:p w14:paraId="1677F2A8" w14:textId="77777777" w:rsidR="00163E0F" w:rsidRPr="00C00F03" w:rsidRDefault="00163E0F" w:rsidP="00163E0F">
      <w:pPr>
        <w:rPr>
          <w:rFonts w:cstheme="minorHAnsi"/>
          <w:sz w:val="24"/>
          <w:szCs w:val="20"/>
          <w:lang w:val="en-GB" w:eastAsia="fr-FR"/>
        </w:rPr>
      </w:pPr>
    </w:p>
    <w:p w14:paraId="12A4D3CD" w14:textId="77777777" w:rsidR="00163E0F" w:rsidRPr="00C00F03" w:rsidRDefault="00163E0F" w:rsidP="00163E0F">
      <w:pPr>
        <w:rPr>
          <w:rFonts w:cstheme="minorHAnsi"/>
          <w:sz w:val="24"/>
          <w:szCs w:val="20"/>
          <w:lang w:val="en-GB" w:eastAsia="fr-FR"/>
        </w:rPr>
      </w:pPr>
      <w:r w:rsidRPr="00163E0F">
        <w:rPr>
          <w:sz w:val="24"/>
          <w:szCs w:val="20"/>
          <w:lang w:val="en"/>
        </w:rPr>
        <w:t>Oral arguments may be in English.</w:t>
      </w:r>
    </w:p>
    <w:p w14:paraId="585E1EDC" w14:textId="77777777" w:rsidR="00163E0F" w:rsidRPr="00C00F03" w:rsidRDefault="00163E0F" w:rsidP="00163E0F">
      <w:pPr>
        <w:rPr>
          <w:rFonts w:cstheme="minorHAnsi"/>
          <w:sz w:val="24"/>
          <w:szCs w:val="20"/>
          <w:lang w:val="en-GB" w:eastAsia="fr-FR"/>
        </w:rPr>
      </w:pPr>
    </w:p>
    <w:p w14:paraId="2DD2D163" w14:textId="17CE2666" w:rsidR="00163E0F" w:rsidRPr="00C00F03" w:rsidRDefault="00163E0F" w:rsidP="00163E0F">
      <w:pPr>
        <w:rPr>
          <w:rFonts w:cstheme="minorHAnsi"/>
          <w:sz w:val="24"/>
          <w:szCs w:val="20"/>
          <w:lang w:val="en-GB" w:eastAsia="fr-FR"/>
        </w:rPr>
      </w:pPr>
      <w:r w:rsidRPr="00163E0F">
        <w:rPr>
          <w:sz w:val="24"/>
          <w:szCs w:val="20"/>
          <w:lang w:val="en"/>
        </w:rPr>
        <w:t xml:space="preserve">The protocol established between the </w:t>
      </w:r>
      <w:r w:rsidR="00C00F03">
        <w:rPr>
          <w:sz w:val="24"/>
          <w:szCs w:val="20"/>
          <w:lang w:val="en"/>
        </w:rPr>
        <w:t>Court</w:t>
      </w:r>
      <w:r w:rsidRPr="00163E0F">
        <w:rPr>
          <w:sz w:val="24"/>
          <w:szCs w:val="20"/>
          <w:lang w:val="en"/>
        </w:rPr>
        <w:t xml:space="preserve"> and the Paris Bar is addressed to the participants.</w:t>
      </w:r>
    </w:p>
    <w:p w14:paraId="0BB79949" w14:textId="77777777" w:rsidR="00163E0F" w:rsidRPr="00C00F03" w:rsidRDefault="00163E0F" w:rsidP="00163E0F">
      <w:pPr>
        <w:rPr>
          <w:rFonts w:cstheme="minorHAnsi"/>
          <w:sz w:val="24"/>
          <w:szCs w:val="20"/>
          <w:lang w:val="en-GB" w:eastAsia="fr-FR"/>
        </w:rPr>
      </w:pPr>
    </w:p>
    <w:p w14:paraId="1D804297" w14:textId="77777777" w:rsidR="00163E0F" w:rsidRPr="00C00F03" w:rsidRDefault="00163E0F" w:rsidP="00163E0F">
      <w:pPr>
        <w:rPr>
          <w:rFonts w:cstheme="minorHAnsi"/>
          <w:sz w:val="24"/>
          <w:szCs w:val="20"/>
          <w:lang w:val="en-GB" w:eastAsia="fr-FR"/>
        </w:rPr>
      </w:pPr>
      <w:r w:rsidRPr="00163E0F">
        <w:rPr>
          <w:sz w:val="24"/>
          <w:szCs w:val="20"/>
          <w:lang w:val="en"/>
        </w:rPr>
        <w:t>The advantage of this court is that it is a judgment rendered by a European Court, therefore applicable without exequatur in all European countries.</w:t>
      </w:r>
    </w:p>
    <w:p w14:paraId="5C874FC1" w14:textId="77777777" w:rsidR="00163E0F" w:rsidRPr="00C00F03" w:rsidRDefault="00163E0F" w:rsidP="00163E0F">
      <w:pPr>
        <w:rPr>
          <w:rFonts w:cstheme="minorHAnsi"/>
          <w:sz w:val="24"/>
          <w:szCs w:val="20"/>
          <w:lang w:val="en-GB" w:eastAsia="fr-FR"/>
        </w:rPr>
      </w:pPr>
    </w:p>
    <w:p w14:paraId="4E0B8218" w14:textId="77777777" w:rsidR="00163E0F" w:rsidRPr="00C00F03" w:rsidRDefault="00163E0F" w:rsidP="00163E0F">
      <w:pPr>
        <w:rPr>
          <w:rFonts w:cstheme="minorHAnsi"/>
          <w:sz w:val="24"/>
          <w:szCs w:val="20"/>
          <w:lang w:val="en-GB" w:eastAsia="fr-FR"/>
        </w:rPr>
      </w:pPr>
      <w:r w:rsidRPr="00163E0F">
        <w:rPr>
          <w:sz w:val="24"/>
          <w:szCs w:val="20"/>
          <w:lang w:val="en"/>
        </w:rPr>
        <w:t>A model jurisdiction clause is available.</w:t>
      </w:r>
    </w:p>
    <w:p w14:paraId="2A8AAA89" w14:textId="77777777" w:rsidR="00163E0F" w:rsidRPr="00C00F03" w:rsidRDefault="00163E0F" w:rsidP="00163E0F">
      <w:pPr>
        <w:rPr>
          <w:rFonts w:cstheme="minorHAnsi"/>
          <w:sz w:val="24"/>
          <w:szCs w:val="20"/>
          <w:lang w:val="en-GB" w:eastAsia="fr-FR"/>
        </w:rPr>
      </w:pPr>
    </w:p>
    <w:p w14:paraId="24BD1F1D" w14:textId="77777777" w:rsidR="00163E0F" w:rsidRPr="00C00F03" w:rsidRDefault="00163E0F" w:rsidP="00163E0F">
      <w:pPr>
        <w:rPr>
          <w:rFonts w:cstheme="minorHAnsi"/>
          <w:sz w:val="24"/>
          <w:szCs w:val="20"/>
          <w:lang w:val="en-GB" w:eastAsia="fr-FR"/>
        </w:rPr>
      </w:pPr>
      <w:r w:rsidRPr="00163E0F">
        <w:rPr>
          <w:sz w:val="24"/>
          <w:szCs w:val="20"/>
          <w:lang w:val="en"/>
        </w:rPr>
        <w:t>There are no Court fees, which is more economical than arbitration.</w:t>
      </w:r>
    </w:p>
    <w:p w14:paraId="065F711B" w14:textId="77777777" w:rsidR="00163E0F" w:rsidRPr="00C00F03" w:rsidRDefault="00163E0F" w:rsidP="00163E0F">
      <w:pPr>
        <w:rPr>
          <w:rFonts w:cstheme="minorHAnsi"/>
          <w:sz w:val="24"/>
          <w:szCs w:val="20"/>
          <w:lang w:val="en-GB" w:eastAsia="fr-FR"/>
        </w:rPr>
      </w:pPr>
    </w:p>
    <w:p w14:paraId="1682DCEC" w14:textId="77777777" w:rsidR="00163E0F" w:rsidRPr="00C00F03" w:rsidRDefault="00163E0F" w:rsidP="00163E0F">
      <w:pPr>
        <w:rPr>
          <w:rFonts w:cstheme="minorHAnsi"/>
          <w:sz w:val="24"/>
          <w:szCs w:val="20"/>
          <w:lang w:val="en-GB" w:eastAsia="fr-FR"/>
        </w:rPr>
      </w:pPr>
    </w:p>
    <w:p w14:paraId="3562017B" w14:textId="77777777" w:rsidR="00163E0F" w:rsidRPr="00C00F03" w:rsidRDefault="00163E0F" w:rsidP="00163E0F">
      <w:pPr>
        <w:rPr>
          <w:rFonts w:cstheme="minorHAnsi"/>
          <w:sz w:val="24"/>
          <w:szCs w:val="20"/>
          <w:lang w:val="en-GB" w:eastAsia="fr-FR"/>
        </w:rPr>
      </w:pPr>
    </w:p>
    <w:p w14:paraId="0BDFAAEC" w14:textId="77777777" w:rsidR="00163E0F" w:rsidRPr="00C00F03" w:rsidRDefault="00163E0F" w:rsidP="00163E0F">
      <w:pPr>
        <w:rPr>
          <w:rFonts w:cstheme="minorHAnsi"/>
          <w:sz w:val="24"/>
          <w:szCs w:val="20"/>
          <w:lang w:val="en-GB" w:eastAsia="fr-FR"/>
        </w:rPr>
      </w:pPr>
    </w:p>
    <w:p w14:paraId="1EACCE0B" w14:textId="77777777" w:rsidR="00163E0F" w:rsidRPr="00C00F03" w:rsidRDefault="00163E0F" w:rsidP="00163E0F">
      <w:pPr>
        <w:rPr>
          <w:rFonts w:cstheme="minorHAnsi"/>
          <w:sz w:val="24"/>
          <w:szCs w:val="20"/>
          <w:lang w:val="en-GB" w:eastAsia="fr-FR"/>
        </w:rPr>
      </w:pPr>
    </w:p>
    <w:p w14:paraId="66693936" w14:textId="77777777" w:rsidR="00163E0F" w:rsidRPr="00C00F03" w:rsidRDefault="00163E0F" w:rsidP="00163E0F">
      <w:pPr>
        <w:rPr>
          <w:rFonts w:cstheme="minorHAnsi"/>
          <w:sz w:val="24"/>
          <w:szCs w:val="20"/>
          <w:lang w:val="en-GB" w:eastAsia="fr-FR"/>
        </w:rPr>
      </w:pP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6455"/>
      </w:tblGrid>
      <w:tr w:rsidR="00163E0F" w:rsidRPr="00163E0F" w14:paraId="6F9DFD52" w14:textId="77777777" w:rsidTr="00163E0F">
        <w:tc>
          <w:tcPr>
            <w:tcW w:w="3326" w:type="dxa"/>
          </w:tcPr>
          <w:p w14:paraId="6DC4B5D0" w14:textId="77777777" w:rsidR="00163E0F" w:rsidRPr="00163E0F" w:rsidRDefault="00163E0F" w:rsidP="00163E0F">
            <w:pPr>
              <w:jc w:val="center"/>
              <w:rPr>
                <w:rFonts w:cstheme="minorHAnsi"/>
                <w:b/>
                <w:bCs/>
                <w:sz w:val="24"/>
                <w:szCs w:val="20"/>
                <w:lang w:eastAsia="fr-FR"/>
              </w:rPr>
            </w:pPr>
            <w:r w:rsidRPr="00163E0F">
              <w:rPr>
                <w:b/>
                <w:sz w:val="24"/>
                <w:szCs w:val="20"/>
                <w:lang w:val="en"/>
              </w:rPr>
              <w:t>Thierry Clerc</w:t>
            </w:r>
          </w:p>
          <w:p w14:paraId="2E7FEDAA" w14:textId="77777777" w:rsidR="00163E0F" w:rsidRPr="00163E0F" w:rsidRDefault="009E63BD" w:rsidP="00163E0F">
            <w:pPr>
              <w:jc w:val="center"/>
              <w:rPr>
                <w:rFonts w:cstheme="minorHAnsi"/>
                <w:sz w:val="24"/>
                <w:szCs w:val="20"/>
                <w:lang w:eastAsia="fr-FR"/>
              </w:rPr>
            </w:pPr>
            <w:hyperlink r:id="rId8" w:history="1">
              <w:r w:rsidR="00163E0F" w:rsidRPr="00163E0F">
                <w:rPr>
                  <w:color w:val="0000FF" w:themeColor="hyperlink"/>
                  <w:sz w:val="24"/>
                  <w:szCs w:val="20"/>
                  <w:u w:val="single"/>
                  <w:lang w:val="en"/>
                </w:rPr>
                <w:t>clerc@eurojuris.fr</w:t>
              </w:r>
            </w:hyperlink>
          </w:p>
        </w:tc>
        <w:tc>
          <w:tcPr>
            <w:tcW w:w="6455" w:type="dxa"/>
          </w:tcPr>
          <w:p w14:paraId="75CB9D95" w14:textId="77777777" w:rsidR="00163E0F" w:rsidRDefault="00163E0F" w:rsidP="00163E0F">
            <w:pPr>
              <w:jc w:val="center"/>
              <w:rPr>
                <w:rFonts w:cstheme="minorHAnsi"/>
                <w:b/>
                <w:bCs/>
                <w:sz w:val="24"/>
                <w:szCs w:val="20"/>
                <w:lang w:eastAsia="fr-FR"/>
              </w:rPr>
            </w:pPr>
            <w:r w:rsidRPr="00163E0F">
              <w:rPr>
                <w:b/>
                <w:sz w:val="24"/>
                <w:szCs w:val="20"/>
                <w:lang w:val="en"/>
              </w:rPr>
              <w:t>Christian Schlemmer</w:t>
            </w:r>
          </w:p>
          <w:p w14:paraId="7CCD6B65" w14:textId="3678EF06" w:rsidR="00163E0F" w:rsidRPr="00163E0F" w:rsidRDefault="009E63BD" w:rsidP="00163E0F">
            <w:pPr>
              <w:jc w:val="center"/>
              <w:rPr>
                <w:rFonts w:cstheme="minorHAnsi"/>
                <w:sz w:val="24"/>
                <w:szCs w:val="20"/>
                <w:lang w:eastAsia="fr-FR"/>
              </w:rPr>
            </w:pPr>
            <w:hyperlink r:id="rId9" w:history="1">
              <w:r w:rsidR="00163E0F" w:rsidRPr="00163E0F">
                <w:rPr>
                  <w:rStyle w:val="Lienhypertexte"/>
                  <w:sz w:val="24"/>
                  <w:szCs w:val="20"/>
                  <w:lang w:val="en"/>
                </w:rPr>
                <w:t>cschlemmer@caemmerer-lenz.fr</w:t>
              </w:r>
            </w:hyperlink>
          </w:p>
        </w:tc>
      </w:tr>
    </w:tbl>
    <w:p w14:paraId="1B0C27E8" w14:textId="77777777" w:rsidR="00163E0F" w:rsidRPr="00163E0F" w:rsidRDefault="00163E0F" w:rsidP="00163E0F">
      <w:pPr>
        <w:rPr>
          <w:rFonts w:cstheme="minorHAnsi"/>
          <w:sz w:val="24"/>
          <w:szCs w:val="20"/>
          <w:lang w:eastAsia="fr-FR"/>
        </w:rPr>
      </w:pPr>
    </w:p>
    <w:p w14:paraId="2B476B16" w14:textId="698012A7" w:rsidR="00163E0F" w:rsidRPr="00F556D5" w:rsidRDefault="00163E0F" w:rsidP="00F556D5"/>
    <w:sectPr w:rsidR="00163E0F" w:rsidRPr="00F556D5" w:rsidSect="009347E6">
      <w:headerReference w:type="default" r:id="rId10"/>
      <w:footerReference w:type="default" r:id="rId11"/>
      <w:pgSz w:w="11906" w:h="16838"/>
      <w:pgMar w:top="1417" w:right="1417" w:bottom="1134" w:left="1417"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5914" w14:textId="77777777" w:rsidR="009E63BD" w:rsidRDefault="009E63BD">
      <w:r>
        <w:rPr>
          <w:lang w:val="en"/>
        </w:rPr>
        <w:separator/>
      </w:r>
    </w:p>
  </w:endnote>
  <w:endnote w:type="continuationSeparator" w:id="0">
    <w:p w14:paraId="137E4AF3" w14:textId="77777777" w:rsidR="009E63BD" w:rsidRDefault="009E63BD">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325A" w14:textId="77777777" w:rsidR="00F22A89" w:rsidRPr="00A859E7" w:rsidRDefault="00163E0F" w:rsidP="00F22A89">
    <w:pPr>
      <w:pStyle w:val="Pieddepage"/>
      <w:jc w:val="center"/>
      <w:rPr>
        <w:color w:val="FFFFFF" w:themeColor="background1"/>
      </w:rPr>
    </w:pPr>
    <w:r w:rsidRPr="00A859E7">
      <w:rPr>
        <w:noProof/>
        <w:color w:val="FFFFFF" w:themeColor="background1"/>
        <w:lang w:val="en"/>
      </w:rPr>
      <mc:AlternateContent>
        <mc:Choice Requires="wps">
          <w:drawing>
            <wp:anchor distT="0" distB="0" distL="114300" distR="114300" simplePos="0" relativeHeight="251660288" behindDoc="1" locked="0" layoutInCell="1" allowOverlap="1" wp14:anchorId="67B5C002" wp14:editId="4293FEB1">
              <wp:simplePos x="0" y="0"/>
              <wp:positionH relativeFrom="column">
                <wp:posOffset>-959172</wp:posOffset>
              </wp:positionH>
              <wp:positionV relativeFrom="paragraph">
                <wp:posOffset>-92017</wp:posOffset>
              </wp:positionV>
              <wp:extent cx="7849367" cy="807522"/>
              <wp:effectExtent l="0" t="0" r="18415" b="12065"/>
              <wp:wrapNone/>
              <wp:docPr id="3" name="Rechteck 3"/>
              <wp:cNvGraphicFramePr/>
              <a:graphic xmlns:a="http://schemas.openxmlformats.org/drawingml/2006/main">
                <a:graphicData uri="http://schemas.microsoft.com/office/word/2010/wordprocessingShape">
                  <wps:wsp>
                    <wps:cNvSpPr/>
                    <wps:spPr>
                      <a:xfrm>
                        <a:off x="0" y="0"/>
                        <a:ext cx="7849367" cy="807522"/>
                      </a:xfrm>
                      <a:prstGeom prst="rect">
                        <a:avLst/>
                      </a:prstGeom>
                      <a:solidFill>
                        <a:srgbClr val="7AA7D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eck 3" style="position:absolute;margin-left:-75.55pt;margin-top:-7.25pt;width:618.05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aa7d8" strokecolor="#243f60 [1604]" strokeweight="2pt" w14:anchorId="7CEB4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"/>
          </w:pict>
        </mc:Fallback>
      </mc:AlternateContent>
    </w:r>
    <w:r w:rsidRPr="00C00F03">
      <w:rPr>
        <w:color w:val="FFFFFF" w:themeColor="background1"/>
        <w:lang w:val="fr-FR"/>
      </w:rPr>
      <w:t>Eurojuris International | info@eurojuris.net| www.eurojuris.net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4C36" w14:textId="77777777" w:rsidR="009E63BD" w:rsidRDefault="009E63BD">
      <w:r>
        <w:rPr>
          <w:lang w:val="en"/>
        </w:rPr>
        <w:separator/>
      </w:r>
    </w:p>
  </w:footnote>
  <w:footnote w:type="continuationSeparator" w:id="0">
    <w:p w14:paraId="4DF60630" w14:textId="77777777" w:rsidR="009E63BD" w:rsidRDefault="009E63BD">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812E" w14:textId="77777777" w:rsidR="00F22A89" w:rsidRDefault="00163E0F" w:rsidP="00F22A89">
    <w:pPr>
      <w:pStyle w:val="En-tte"/>
      <w:jc w:val="center"/>
      <w:rPr>
        <w:rFonts w:cs="Arial"/>
        <w:sz w:val="36"/>
        <w:szCs w:val="36"/>
        <w:lang w:val="en-US"/>
      </w:rPr>
    </w:pPr>
    <w:r>
      <w:rPr>
        <w:noProof/>
        <w:sz w:val="36"/>
        <w:szCs w:val="36"/>
        <w:lang w:val="en"/>
      </w:rPr>
      <mc:AlternateContent>
        <mc:Choice Requires="wps">
          <w:drawing>
            <wp:anchor distT="0" distB="0" distL="114300" distR="114300" simplePos="0" relativeHeight="251659264" behindDoc="1" locked="0" layoutInCell="1" allowOverlap="1" wp14:anchorId="03EE7806" wp14:editId="6E7F2A4F">
              <wp:simplePos x="0" y="0"/>
              <wp:positionH relativeFrom="column">
                <wp:posOffset>-1149177</wp:posOffset>
              </wp:positionH>
              <wp:positionV relativeFrom="paragraph">
                <wp:posOffset>-449580</wp:posOffset>
              </wp:positionV>
              <wp:extent cx="7885216" cy="2861953"/>
              <wp:effectExtent l="0" t="0" r="20955" b="14605"/>
              <wp:wrapNone/>
              <wp:docPr id="2" name="Rechteck 2"/>
              <wp:cNvGraphicFramePr/>
              <a:graphic xmlns:a="http://schemas.openxmlformats.org/drawingml/2006/main">
                <a:graphicData uri="http://schemas.microsoft.com/office/word/2010/wordprocessingShape">
                  <wps:wsp>
                    <wps:cNvSpPr/>
                    <wps:spPr>
                      <a:xfrm>
                        <a:off x="0" y="0"/>
                        <a:ext cx="7885216" cy="2861953"/>
                      </a:xfrm>
                      <a:prstGeom prst="rect">
                        <a:avLst/>
                      </a:prstGeom>
                      <a:solidFill>
                        <a:srgbClr val="7AA7D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rect id="Rechteck 2" style="position:absolute;margin-left:-90.5pt;margin-top:-35.4pt;width:620.9pt;height:225.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7aa7d8" strokecolor="#205867 [1608]" strokeweight="2pt" w14:anchorId="4E376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"/>
          </w:pict>
        </mc:Fallback>
      </mc:AlternateContent>
    </w:r>
    <w:r>
      <w:rPr>
        <w:noProof/>
        <w:sz w:val="36"/>
        <w:szCs w:val="36"/>
        <w:lang w:val="en"/>
      </w:rPr>
      <w:drawing>
        <wp:inline distT="0" distB="0" distL="0" distR="0" wp14:anchorId="1F871861" wp14:editId="1CBF087F">
          <wp:extent cx="2602865" cy="474980"/>
          <wp:effectExtent l="0" t="0" r="698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474980"/>
                  </a:xfrm>
                  <a:prstGeom prst="rect">
                    <a:avLst/>
                  </a:prstGeom>
                  <a:noFill/>
                </pic:spPr>
              </pic:pic>
            </a:graphicData>
          </a:graphic>
        </wp:inline>
      </w:drawing>
    </w:r>
  </w:p>
  <w:p w14:paraId="3034AF68" w14:textId="77777777" w:rsidR="00F22A89" w:rsidRPr="00F22A89" w:rsidRDefault="009E63BD" w:rsidP="00F22A89">
    <w:pPr>
      <w:pStyle w:val="En-tte"/>
      <w:rPr>
        <w:rFonts w:cs="Arial"/>
        <w:sz w:val="36"/>
        <w:szCs w:val="36"/>
        <w:lang w:val="en-US"/>
      </w:rPr>
    </w:pPr>
  </w:p>
  <w:p w14:paraId="7039FF9F" w14:textId="77777777" w:rsidR="00F22A89" w:rsidRPr="00A859E7" w:rsidRDefault="00163E0F" w:rsidP="00F22A89">
    <w:pPr>
      <w:pStyle w:val="En-tte"/>
      <w:spacing w:after="120"/>
      <w:jc w:val="center"/>
      <w:rPr>
        <w:rFonts w:cs="Arial"/>
        <w:color w:val="FFFFFF" w:themeColor="background1"/>
        <w:sz w:val="36"/>
        <w:szCs w:val="36"/>
        <w:lang w:val="en-US"/>
      </w:rPr>
    </w:pPr>
    <w:r w:rsidRPr="00A859E7">
      <w:rPr>
        <w:color w:val="FFFFFF" w:themeColor="background1"/>
        <w:sz w:val="36"/>
        <w:szCs w:val="36"/>
        <w:lang w:val="en"/>
      </w:rPr>
      <w:t xml:space="preserve">Eurojuris </w:t>
    </w:r>
    <w:r>
      <w:rPr>
        <w:color w:val="FFFFFF" w:themeColor="background1"/>
        <w:sz w:val="36"/>
        <w:szCs w:val="36"/>
        <w:lang w:val="en"/>
      </w:rPr>
      <w:t>Practice Groups meeting</w:t>
    </w:r>
    <w:r w:rsidRPr="00A859E7">
      <w:rPr>
        <w:color w:val="FFFFFF" w:themeColor="background1"/>
        <w:sz w:val="36"/>
        <w:szCs w:val="36"/>
        <w:lang w:val="en"/>
      </w:rPr>
      <w:t xml:space="preserve"> </w:t>
    </w:r>
  </w:p>
  <w:p w14:paraId="7C10649A" w14:textId="77777777" w:rsidR="00F22A89" w:rsidRPr="00A859E7" w:rsidRDefault="00163E0F" w:rsidP="00F22A89">
    <w:pPr>
      <w:pStyle w:val="En-tte"/>
      <w:spacing w:after="120"/>
      <w:jc w:val="center"/>
      <w:rPr>
        <w:rFonts w:cs="Arial"/>
        <w:color w:val="FFFFFF" w:themeColor="background1"/>
        <w:sz w:val="36"/>
        <w:szCs w:val="36"/>
        <w:lang w:val="en-US"/>
      </w:rPr>
    </w:pPr>
    <w:r>
      <w:rPr>
        <w:color w:val="FFFFFF" w:themeColor="background1"/>
        <w:sz w:val="36"/>
        <w:szCs w:val="36"/>
        <w:lang w:val="en"/>
      </w:rPr>
      <w:t>PARIS – Paris Bar Office &amp; Commerce Court</w:t>
    </w:r>
  </w:p>
  <w:p w14:paraId="1BF0733D" w14:textId="77777777" w:rsidR="00F22A89" w:rsidRPr="00A859E7" w:rsidRDefault="00163E0F" w:rsidP="00F22A89">
    <w:pPr>
      <w:pStyle w:val="En-tte"/>
      <w:spacing w:after="120"/>
      <w:jc w:val="center"/>
      <w:rPr>
        <w:rFonts w:cs="Arial"/>
        <w:color w:val="FFFFFF" w:themeColor="background1"/>
        <w:sz w:val="36"/>
        <w:szCs w:val="36"/>
        <w:lang w:val="en-US"/>
      </w:rPr>
    </w:pPr>
    <w:r>
      <w:rPr>
        <w:color w:val="FFFFFF" w:themeColor="background1"/>
        <w:sz w:val="36"/>
        <w:szCs w:val="36"/>
        <w:lang w:val="en"/>
      </w:rPr>
      <w:t xml:space="preserve">Friday 15 October </w:t>
    </w:r>
    <w:r w:rsidRPr="00A859E7">
      <w:rPr>
        <w:color w:val="FFFFFF" w:themeColor="background1"/>
        <w:sz w:val="36"/>
        <w:szCs w:val="36"/>
        <w:lang w:val="en"/>
      </w:rPr>
      <w:t>20</w:t>
    </w:r>
    <w:r>
      <w:rPr>
        <w:color w:val="FFFFFF" w:themeColor="background1"/>
        <w:sz w:val="36"/>
        <w:szCs w:val="36"/>
        <w:lang w:val="en"/>
      </w:rPr>
      <w:t>21</w:t>
    </w:r>
  </w:p>
  <w:p w14:paraId="7281B869" w14:textId="77777777" w:rsidR="00F22A89" w:rsidRPr="00A859E7" w:rsidRDefault="00163E0F" w:rsidP="00F22A89">
    <w:pPr>
      <w:pStyle w:val="En-tte"/>
      <w:spacing w:after="120"/>
      <w:jc w:val="center"/>
      <w:rPr>
        <w:rFonts w:cs="Arial"/>
        <w:color w:val="FFFFFF" w:themeColor="background1"/>
        <w:sz w:val="36"/>
        <w:szCs w:val="36"/>
      </w:rPr>
    </w:pPr>
    <w:r>
      <w:rPr>
        <w:color w:val="FFFFFF" w:themeColor="background1"/>
        <w:sz w:val="36"/>
        <w:szCs w:val="36"/>
        <w:lang w:val="en"/>
      </w:rPr>
      <w:t>International Litigation, ADR and Contracts Group</w:t>
    </w:r>
  </w:p>
  <w:p w14:paraId="758C7865" w14:textId="77777777" w:rsidR="00F22A89" w:rsidRPr="00A859E7" w:rsidRDefault="009E63BD" w:rsidP="00F22A89">
    <w:pPr>
      <w:pStyle w:val="En-tte"/>
      <w:spacing w:after="120"/>
      <w:jc w:val="center"/>
      <w:rPr>
        <w:rFonts w:cs="Arial"/>
        <w:color w:val="FFFFFF" w:themeColor="background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5BA"/>
    <w:multiLevelType w:val="multilevel"/>
    <w:tmpl w:val="A9083074"/>
    <w:lvl w:ilvl="0">
      <w:start w:val="1"/>
      <w:numFmt w:val="decimal"/>
      <w:lvlText w:val="%1"/>
      <w:lvlJc w:val="left"/>
      <w:pPr>
        <w:ind w:left="372" w:hanging="372"/>
      </w:pPr>
    </w:lvl>
    <w:lvl w:ilvl="1">
      <w:start w:val="1"/>
      <w:numFmt w:val="decimal"/>
      <w:lvlText w:val="%1.%2"/>
      <w:lvlJc w:val="left"/>
      <w:pPr>
        <w:ind w:left="1092" w:hanging="372"/>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9D36684"/>
    <w:multiLevelType w:val="hybridMultilevel"/>
    <w:tmpl w:val="EE1411DC"/>
    <w:lvl w:ilvl="0" w:tplc="6DBEAB56">
      <w:start w:val="1"/>
      <w:numFmt w:val="decimal"/>
      <w:lvlText w:val="%1."/>
      <w:lvlJc w:val="left"/>
      <w:pPr>
        <w:ind w:left="720" w:hanging="360"/>
      </w:pPr>
      <w:rPr>
        <w:b/>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450E22"/>
    <w:multiLevelType w:val="hybridMultilevel"/>
    <w:tmpl w:val="BFF2181A"/>
    <w:lvl w:ilvl="0" w:tplc="BA0854CE">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B95EE6"/>
    <w:multiLevelType w:val="hybridMultilevel"/>
    <w:tmpl w:val="E65CE6F6"/>
    <w:lvl w:ilvl="0" w:tplc="9998FB28">
      <w:start w:val="1"/>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7A0910C1"/>
    <w:multiLevelType w:val="hybridMultilevel"/>
    <w:tmpl w:val="1DA21FC0"/>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7A2D61-7956-4F3B-9AC1-C96787834905}"/>
    <w:docVar w:name="dgnword-eventsink" w:val="649824024"/>
  </w:docVars>
  <w:rsids>
    <w:rsidRoot w:val="00E538E1"/>
    <w:rsid w:val="00004B58"/>
    <w:rsid w:val="0000775E"/>
    <w:rsid w:val="00027D5B"/>
    <w:rsid w:val="0003003D"/>
    <w:rsid w:val="00030731"/>
    <w:rsid w:val="00037720"/>
    <w:rsid w:val="000412BF"/>
    <w:rsid w:val="00042A4D"/>
    <w:rsid w:val="00042E10"/>
    <w:rsid w:val="0005085E"/>
    <w:rsid w:val="00056807"/>
    <w:rsid w:val="00064E54"/>
    <w:rsid w:val="00086AA6"/>
    <w:rsid w:val="000B133F"/>
    <w:rsid w:val="000B6C29"/>
    <w:rsid w:val="000C3186"/>
    <w:rsid w:val="000D07D3"/>
    <w:rsid w:val="000D5E4C"/>
    <w:rsid w:val="000D7F32"/>
    <w:rsid w:val="000E0129"/>
    <w:rsid w:val="000E3966"/>
    <w:rsid w:val="00114F9B"/>
    <w:rsid w:val="00116B2F"/>
    <w:rsid w:val="00123F84"/>
    <w:rsid w:val="00124F98"/>
    <w:rsid w:val="00143565"/>
    <w:rsid w:val="00151C1F"/>
    <w:rsid w:val="00163E0F"/>
    <w:rsid w:val="00167706"/>
    <w:rsid w:val="00170CC4"/>
    <w:rsid w:val="00185434"/>
    <w:rsid w:val="001A401F"/>
    <w:rsid w:val="0021307B"/>
    <w:rsid w:val="00255B22"/>
    <w:rsid w:val="002A3569"/>
    <w:rsid w:val="002D6B31"/>
    <w:rsid w:val="002F10E3"/>
    <w:rsid w:val="002F3003"/>
    <w:rsid w:val="002F547E"/>
    <w:rsid w:val="003047D7"/>
    <w:rsid w:val="00313F52"/>
    <w:rsid w:val="00327DA1"/>
    <w:rsid w:val="003344AD"/>
    <w:rsid w:val="00337626"/>
    <w:rsid w:val="003560B2"/>
    <w:rsid w:val="00394C73"/>
    <w:rsid w:val="003A04A2"/>
    <w:rsid w:val="003B1A40"/>
    <w:rsid w:val="003E5A95"/>
    <w:rsid w:val="003F26C1"/>
    <w:rsid w:val="00406472"/>
    <w:rsid w:val="00426BDB"/>
    <w:rsid w:val="00431CF7"/>
    <w:rsid w:val="00442B31"/>
    <w:rsid w:val="004822C7"/>
    <w:rsid w:val="00484D53"/>
    <w:rsid w:val="004869AA"/>
    <w:rsid w:val="004A0E08"/>
    <w:rsid w:val="004D2D04"/>
    <w:rsid w:val="004E6DC1"/>
    <w:rsid w:val="004F634A"/>
    <w:rsid w:val="0050172B"/>
    <w:rsid w:val="00502E9B"/>
    <w:rsid w:val="00523FA8"/>
    <w:rsid w:val="00526C2A"/>
    <w:rsid w:val="005523B3"/>
    <w:rsid w:val="00582907"/>
    <w:rsid w:val="00582DC5"/>
    <w:rsid w:val="00590A3E"/>
    <w:rsid w:val="005B518E"/>
    <w:rsid w:val="00623719"/>
    <w:rsid w:val="00656A9D"/>
    <w:rsid w:val="006705E6"/>
    <w:rsid w:val="00673F6A"/>
    <w:rsid w:val="006A6C09"/>
    <w:rsid w:val="006B2FA1"/>
    <w:rsid w:val="006B742C"/>
    <w:rsid w:val="006F2CD8"/>
    <w:rsid w:val="00710F63"/>
    <w:rsid w:val="00731B11"/>
    <w:rsid w:val="00744261"/>
    <w:rsid w:val="00753FC3"/>
    <w:rsid w:val="00762583"/>
    <w:rsid w:val="00785580"/>
    <w:rsid w:val="007B5757"/>
    <w:rsid w:val="007C2A16"/>
    <w:rsid w:val="007E6D4F"/>
    <w:rsid w:val="007F7CC8"/>
    <w:rsid w:val="0080054A"/>
    <w:rsid w:val="00803722"/>
    <w:rsid w:val="00811F0C"/>
    <w:rsid w:val="00817B61"/>
    <w:rsid w:val="008228C0"/>
    <w:rsid w:val="00826B86"/>
    <w:rsid w:val="00852956"/>
    <w:rsid w:val="00854702"/>
    <w:rsid w:val="00880706"/>
    <w:rsid w:val="00897CA3"/>
    <w:rsid w:val="008A7901"/>
    <w:rsid w:val="008B149C"/>
    <w:rsid w:val="008D01C0"/>
    <w:rsid w:val="008D35B9"/>
    <w:rsid w:val="008F1378"/>
    <w:rsid w:val="008F2500"/>
    <w:rsid w:val="008F4D1A"/>
    <w:rsid w:val="008F6B02"/>
    <w:rsid w:val="009157AC"/>
    <w:rsid w:val="00926AB9"/>
    <w:rsid w:val="00950949"/>
    <w:rsid w:val="009518FE"/>
    <w:rsid w:val="00953175"/>
    <w:rsid w:val="00960780"/>
    <w:rsid w:val="00966BDC"/>
    <w:rsid w:val="00970B50"/>
    <w:rsid w:val="00972503"/>
    <w:rsid w:val="00972E76"/>
    <w:rsid w:val="009D2A3D"/>
    <w:rsid w:val="009E1036"/>
    <w:rsid w:val="009E1F7B"/>
    <w:rsid w:val="009E63BD"/>
    <w:rsid w:val="009F297C"/>
    <w:rsid w:val="009F5DD5"/>
    <w:rsid w:val="00A02F32"/>
    <w:rsid w:val="00A140BE"/>
    <w:rsid w:val="00A1736A"/>
    <w:rsid w:val="00A84EA8"/>
    <w:rsid w:val="00A870D2"/>
    <w:rsid w:val="00AA0574"/>
    <w:rsid w:val="00AF3192"/>
    <w:rsid w:val="00AF598F"/>
    <w:rsid w:val="00AF5AB0"/>
    <w:rsid w:val="00B02F30"/>
    <w:rsid w:val="00B03E1E"/>
    <w:rsid w:val="00B51657"/>
    <w:rsid w:val="00B85CA0"/>
    <w:rsid w:val="00BA6103"/>
    <w:rsid w:val="00BB7FDA"/>
    <w:rsid w:val="00BE034D"/>
    <w:rsid w:val="00BE3A96"/>
    <w:rsid w:val="00C00F03"/>
    <w:rsid w:val="00C11857"/>
    <w:rsid w:val="00C24F54"/>
    <w:rsid w:val="00C34238"/>
    <w:rsid w:val="00C617D3"/>
    <w:rsid w:val="00C90C12"/>
    <w:rsid w:val="00CA64EB"/>
    <w:rsid w:val="00CA7D20"/>
    <w:rsid w:val="00CB4637"/>
    <w:rsid w:val="00CE0EC7"/>
    <w:rsid w:val="00CE4B02"/>
    <w:rsid w:val="00CE6007"/>
    <w:rsid w:val="00D61F63"/>
    <w:rsid w:val="00D7668D"/>
    <w:rsid w:val="00D84665"/>
    <w:rsid w:val="00D8469D"/>
    <w:rsid w:val="00D86514"/>
    <w:rsid w:val="00DA56B6"/>
    <w:rsid w:val="00DB0E0F"/>
    <w:rsid w:val="00DE53E6"/>
    <w:rsid w:val="00E24CE4"/>
    <w:rsid w:val="00E538E1"/>
    <w:rsid w:val="00E54CE4"/>
    <w:rsid w:val="00E5723F"/>
    <w:rsid w:val="00E91C77"/>
    <w:rsid w:val="00E9237A"/>
    <w:rsid w:val="00E93CFB"/>
    <w:rsid w:val="00EC20A9"/>
    <w:rsid w:val="00EC46F9"/>
    <w:rsid w:val="00ED20A1"/>
    <w:rsid w:val="00EF5C14"/>
    <w:rsid w:val="00F30C4B"/>
    <w:rsid w:val="00F443A5"/>
    <w:rsid w:val="00F556D5"/>
    <w:rsid w:val="00F61B99"/>
    <w:rsid w:val="00F8346C"/>
    <w:rsid w:val="00F9266D"/>
    <w:rsid w:val="00FB2DFD"/>
    <w:rsid w:val="00FB5C37"/>
    <w:rsid w:val="00FC1387"/>
    <w:rsid w:val="00FD43C0"/>
    <w:rsid w:val="00FE3023"/>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8BF8"/>
  <w15:docId w15:val="{25171BDC-3CE2-494F-AD42-373E7E9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11"/>
    <w:pPr>
      <w:spacing w:after="0" w:line="240" w:lineRule="auto"/>
      <w:jc w:val="both"/>
    </w:pPr>
  </w:style>
  <w:style w:type="paragraph" w:styleId="Titre1">
    <w:name w:val="heading 1"/>
    <w:basedOn w:val="Normal"/>
    <w:next w:val="Normal"/>
    <w:link w:val="Titre1Car"/>
    <w:uiPriority w:val="9"/>
    <w:qFormat/>
    <w:rsid w:val="004869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6F9"/>
    <w:rPr>
      <w:color w:val="808080"/>
    </w:rPr>
  </w:style>
  <w:style w:type="table" w:styleId="Tramemoyenne1-Accent4">
    <w:name w:val="Medium Shading 1 Accent 4"/>
    <w:basedOn w:val="TableauNormal"/>
    <w:uiPriority w:val="63"/>
    <w:rsid w:val="00EC46F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C46F9"/>
    <w:rPr>
      <w:rFonts w:ascii="Tahoma" w:hAnsi="Tahoma" w:cs="Tahoma"/>
      <w:sz w:val="16"/>
      <w:szCs w:val="16"/>
    </w:rPr>
  </w:style>
  <w:style w:type="character" w:customStyle="1" w:styleId="TextedebullesCar">
    <w:name w:val="Texte de bulles Car"/>
    <w:basedOn w:val="Policepardfaut"/>
    <w:link w:val="Textedebulles"/>
    <w:uiPriority w:val="99"/>
    <w:semiHidden/>
    <w:rsid w:val="00EC46F9"/>
    <w:rPr>
      <w:rFonts w:ascii="Tahoma" w:hAnsi="Tahoma" w:cs="Tahoma"/>
      <w:sz w:val="16"/>
      <w:szCs w:val="16"/>
    </w:rPr>
  </w:style>
  <w:style w:type="paragraph" w:customStyle="1" w:styleId="Code">
    <w:name w:val="Code"/>
    <w:basedOn w:val="Normal"/>
    <w:qFormat/>
    <w:rsid w:val="00151C1F"/>
    <w:rPr>
      <w:rFonts w:ascii="Courier New" w:hAnsi="Courier New" w:cs="Courier New"/>
    </w:rPr>
  </w:style>
  <w:style w:type="character" w:customStyle="1" w:styleId="Titre1Car">
    <w:name w:val="Titre 1 Car"/>
    <w:basedOn w:val="Policepardfaut"/>
    <w:link w:val="Titre1"/>
    <w:uiPriority w:val="9"/>
    <w:rsid w:val="004869AA"/>
    <w:rPr>
      <w:rFonts w:asciiTheme="majorHAnsi" w:eastAsiaTheme="majorEastAsia" w:hAnsiTheme="majorHAnsi" w:cstheme="majorBidi"/>
      <w:color w:val="365F91" w:themeColor="accent1" w:themeShade="BF"/>
      <w:sz w:val="32"/>
      <w:szCs w:val="32"/>
    </w:rPr>
  </w:style>
  <w:style w:type="paragraph" w:customStyle="1" w:styleId="Adresse">
    <w:name w:val="Adresse"/>
    <w:basedOn w:val="Normal"/>
    <w:link w:val="AdresseCar"/>
    <w:qFormat/>
    <w:rsid w:val="00B03E1E"/>
    <w:pPr>
      <w:ind w:left="3600"/>
    </w:pPr>
    <w:rPr>
      <w:b/>
      <w:i/>
    </w:rPr>
  </w:style>
  <w:style w:type="character" w:customStyle="1" w:styleId="AdresseCar">
    <w:name w:val="Adresse Car"/>
    <w:basedOn w:val="Policepardfaut"/>
    <w:link w:val="Adresse"/>
    <w:rsid w:val="00B03E1E"/>
    <w:rPr>
      <w:b/>
      <w:i/>
      <w:lang w:val="fr-FR"/>
    </w:rPr>
  </w:style>
  <w:style w:type="paragraph" w:styleId="En-tte">
    <w:name w:val="header"/>
    <w:basedOn w:val="Normal"/>
    <w:link w:val="En-tteCar"/>
    <w:uiPriority w:val="99"/>
    <w:unhideWhenUsed/>
    <w:rsid w:val="00163E0F"/>
    <w:pPr>
      <w:tabs>
        <w:tab w:val="center" w:pos="4536"/>
        <w:tab w:val="right" w:pos="9072"/>
      </w:tabs>
      <w:jc w:val="left"/>
    </w:pPr>
    <w:rPr>
      <w:rFonts w:ascii="Arial" w:hAnsi="Arial"/>
      <w:sz w:val="24"/>
      <w:lang w:val="de-AT"/>
    </w:rPr>
  </w:style>
  <w:style w:type="character" w:customStyle="1" w:styleId="En-tteCar">
    <w:name w:val="En-tête Car"/>
    <w:basedOn w:val="Policepardfaut"/>
    <w:link w:val="En-tte"/>
    <w:uiPriority w:val="99"/>
    <w:rsid w:val="00163E0F"/>
    <w:rPr>
      <w:rFonts w:ascii="Arial" w:hAnsi="Arial"/>
      <w:sz w:val="24"/>
      <w:lang w:val="de-AT"/>
    </w:rPr>
  </w:style>
  <w:style w:type="paragraph" w:styleId="Pieddepage">
    <w:name w:val="footer"/>
    <w:basedOn w:val="Normal"/>
    <w:link w:val="PieddepageCar"/>
    <w:uiPriority w:val="99"/>
    <w:unhideWhenUsed/>
    <w:rsid w:val="00163E0F"/>
    <w:pPr>
      <w:tabs>
        <w:tab w:val="center" w:pos="4536"/>
        <w:tab w:val="right" w:pos="9072"/>
      </w:tabs>
      <w:jc w:val="left"/>
    </w:pPr>
    <w:rPr>
      <w:rFonts w:ascii="Arial" w:hAnsi="Arial"/>
      <w:sz w:val="24"/>
      <w:lang w:val="de-AT"/>
    </w:rPr>
  </w:style>
  <w:style w:type="character" w:customStyle="1" w:styleId="PieddepageCar">
    <w:name w:val="Pied de page Car"/>
    <w:basedOn w:val="Policepardfaut"/>
    <w:link w:val="Pieddepage"/>
    <w:uiPriority w:val="99"/>
    <w:rsid w:val="00163E0F"/>
    <w:rPr>
      <w:rFonts w:ascii="Arial" w:hAnsi="Arial"/>
      <w:sz w:val="24"/>
      <w:lang w:val="de-AT"/>
    </w:rPr>
  </w:style>
  <w:style w:type="table" w:styleId="Grilledutableau">
    <w:name w:val="Table Grid"/>
    <w:basedOn w:val="TableauNormal"/>
    <w:uiPriority w:val="39"/>
    <w:rsid w:val="0016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3E0F"/>
    <w:rPr>
      <w:color w:val="0000FF" w:themeColor="hyperlink"/>
      <w:u w:val="single"/>
    </w:rPr>
  </w:style>
  <w:style w:type="character" w:styleId="Mentionnonrsolue">
    <w:name w:val="Unresolved Mention"/>
    <w:basedOn w:val="Policepardfaut"/>
    <w:uiPriority w:val="99"/>
    <w:semiHidden/>
    <w:unhideWhenUsed/>
    <w:rsid w:val="00163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c@eurojuri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chlemmer@caemmerer-lenz.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79C5-73D4-43DA-BAA1-DAA6616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3601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Taylor</dc:creator>
  <cp:keywords/>
  <dc:description/>
  <cp:lastModifiedBy>Thierry Clerc</cp:lastModifiedBy>
  <cp:revision>2</cp:revision>
  <cp:lastPrinted>2021-10-27T09:49:00Z</cp:lastPrinted>
  <dcterms:created xsi:type="dcterms:W3CDTF">2021-11-05T17:02:00Z</dcterms:created>
  <dcterms:modified xsi:type="dcterms:W3CDTF">2021-11-05T17:02:00Z</dcterms:modified>
  <cp:category/>
</cp:coreProperties>
</file>